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rPr>
          <w:b/>
        </w:rPr>
        <w:t>各階段學生視力不良率（教育部 112 學年統計，2023-2024）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26.69%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62.99%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72.41%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81.61% (111學年)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72.41%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81.61% (111學年)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11.9% (Sydney Myopia Study)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36-42% (CooperVision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rPr/>
        <w:t>民國 88 年（1999 年），正式納入學生視力保健政策中，台灣開始大規模推動以散瞳劑（阿托品） 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65.0% → 62.99%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⚠️ 僅改善 2.01%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54.8% → 62.99%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❌ 仍惡化 8.19%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rPr/>
        <w:t>《驗光人員法》規定驗光師不得對 6 歲以下兒童驗光，立法精神是保護幼童。然而： - 眼科診所因人力不足，常由 未具國考證照的人員 操作驗光儀器 - 形成「法規最嚴、現場最鬆」的實務執行困境 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-6D 約 41 倍, -8D 約 127 倍 (Ogawa &amp; Tanaka 1988)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2-3 倍 / 7.3 倍 (高度近視, Wang et al. 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/>
          <w:color w:val="FF0000"/>
        </w:rPr>
        <w:t>大錯特錯。國際標準是「足度全矯正」。1. 欠矯正加速惡化。2. 散瞳劑放鬆睫狀肌後更須足度矯正，看遠模糊導致控制失敗。3. 結論：兩者必須完美搭配。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