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  <w:p>
        <w:r>
          <w:rPr>
            <w:b/>
            <w:color w:val="FF0000"/>
          </w:rPr>
          <w:t>【臺灣學生視力變遷報告 93-113學年度】</w:t>
        </w:r>
      </w:p>
      <w:p>
        <w:r>
          <w:t>根據教育部最新數據，國小六年級 (P6) 視力不良率軌跡：94學年度 (2005) 54.8% -&gt; 100學年度 (2011) 65.0% (歷史高峰) -&gt; 113學年度 (2024) 61.5% (最新現況)。</w:t>
        </w:r>
      </w:p>
      <w:p>
        <w:r>
          <w:t>關鍵洞察：視力惡化存在兩個「失速點」——國小中年級「調節壓力期」與國一「近視加速期」。研究顯示私校學生不良率高於公立，女性高於男性，都會區為熱區。環境是決定健康起跑線的關鍵。</w:t>
        </w:r>
      </w:p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年），正式納入學生視力保健政策中，台灣開始大規模推動以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
          - 建議逐步減量停藥，而非突然停止。
          <w:r>
            <w:rPr>
              <w:b/>
            </w:rPr>
            <w:t>【停藥反彈機制說明】</w:t>
          </w:r>
          <w:r>
            <w:t>阿托品透過影響鞏膜重塑延緩近視。突然停藥可能引發受體敏感度代償，導致眼軸加速增長。臨床務必採取階梯式減量。</w:t>
          </w:r>
        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
          外觀與普通眼鏡相似
          <w:r>
            <w:rPr>
              <w:i/>
            </w:rPr>
            <w:t>（註：各品牌光學設計與仿單規範不同，如是否需強制散瞳，驗光師應依指示與醫師協作）</w:t>
          </w:r>
        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pPr>
        <w:pStyle w:val="Heading1"/>
      </w:pPr>
      <w:r>
        <w:t>第七章：給政府決策者之策略建言 (新增)</w:t>
      </w:r>
    </w:p>
    <w:p>
      <w:r>
        <w:t>1. 監測體系化：建立「遠視儲備數位監測系統」，監測「度數年增長率」而非僅看不良率現狀，防治點前移至 3 歲學前健檢。</w:t>
      </w:r>
    </w:p>
    <w:p>
      <w:r>
        <w:t>2. 資源分流化：推動 0.05% 阿托品健保給付與眼視光跨專業合作，確立「醫視分流」標準化路徑。</w:t>
      </w:r>
    </w:p>
    <w:p>
      <w:r>
        <w:t>3. 環境政策化：將「每天戶外 2 小時」與「下課淨空教室」納入學校正式行政指標與考核。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