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6"/>
          <w:szCs w:val="56"/>
        </w:rPr>
        <w:t>送愛到學校-離島跨領域合作模式 專案報告</w:t>
      </w:r>
    </w:p>
    <w:p>
      <w:pPr>
        <w:jc w:val="center"/>
      </w:pPr>
      <w:r>
        <w:rPr>
          <w:sz w:val="28"/>
        </w:rPr>
        <w:t>（學會負責章節：2.1, 2.2, 3.2, 3.3 深度撰寫版）</w:t>
      </w:r>
    </w:p>
    <w:p>
      <w:pPr>
        <w:pStyle w:val="Heading1"/>
      </w:pPr>
      <w:r>
        <w:t>1、 前言 — 張麗春 教授</w:t>
      </w:r>
    </w:p>
    <w:p>
      <w:pPr>
        <w:shd w:val="clear" w:color="auto" w:fill="FFF2F2"/>
      </w:pPr>
      <w:r>
        <w:rPr>
          <w:color w:val="C00000"/>
          <w:i/>
        </w:rPr>
        <w:t>（請教授補充內容）</w:t>
      </w:r>
    </w:p>
    <w:p>
      <w:pPr>
        <w:pStyle w:val="Heading1"/>
      </w:pPr>
      <w:r>
        <w:t>2、 文獻查證</w:t>
      </w:r>
    </w:p>
    <w:p>
      <w:pPr>
        <w:pStyle w:val="Heading2"/>
      </w:pPr>
      <w:r>
        <w:t>2.1 學童視力保健現況 — 臺灣視光視力保健學會 執筆</w:t>
      </w:r>
    </w:p>
    <w:p>
      <w:pPr>
        <w:pStyle w:val="Heading3"/>
      </w:pPr>
      <w:r>
        <w:t>2.1.1 二十年視力淪陷史：教育部數據深度解讀</w:t>
      </w:r>
    </w:p>
    <w:p>
      <w:pPr>
        <w:spacing w:after="120"/>
        <w:jc w:val="both"/>
      </w:pPr>
      <w:r>
        <w:t>本會透過對比民國 94 學年度與 113 學年度之原始監測數據，揭示我國學童視力健康面臨之結構性斷層：</w:t>
      </w:r>
    </w:p>
    <w:p>
      <w:pPr>
        <w:ind w:left="420" w:hanging="420"/>
      </w:pPr>
      <w:r>
        <w:t>● 歷史基線 (94學年)：全國國小視力不良率平均為 41.14%。當時呈現顯著的都會與離島差異：台北市高達 49.78%，而離島連江縣僅 31.83%、台東縣 22.57%。這證明 20 年前「環境介入」與「生活型態」仍具備顯著之保護紅利。</w:t>
      </w:r>
    </w:p>
    <w:p>
      <w:pPr>
        <w:ind w:left="420" w:hanging="420"/>
      </w:pPr>
      <w:r>
        <w:t>● 全面淪陷 (113學年)：最新國中端數據顯示總體視力不良率已飆升至 71.96%。最驚人的發現是，連江縣國中端不良率已攀升至 71.21%，與全國平均已無統計學差異。這象徵著「離島地理紅利」已完全被數位化學習與升學競爭本島化所抵消。</w:t>
      </w:r>
    </w:p>
    <w:p>
      <w:pPr>
        <w:ind w:left="420" w:hanging="420"/>
      </w:pPr>
      <w:r>
        <w:t>● 惡化超速路段：數據顯示，國中三年級間呈現階梯式惡化：七年級 (68.12%) → 八年級 (72.66%) → 九年級 (75.95%)。年均 4% 的增長率反映出青春期生理發育與升學壓力的交互共振，是政策介入最急迫的關鍵期。</w:t>
      </w:r>
    </w:p>
    <w:p>
      <w:pPr>
        <w:ind w:left="420" w:hanging="420"/>
      </w:pPr>
      <w:r>
        <w:t>● 體制性損害：私立國中之不良率高達 76.03%，顯著高於公立學校的 71.27%。這數據背後的公衛意義在於：高度競爭環境已實質成為一種「視力稅」。</w:t>
      </w:r>
    </w:p>
    <w:p>
      <w:pPr>
        <w:pStyle w:val="Heading2"/>
      </w:pPr>
      <w:r>
        <w:t>2.2 學童視力治療與矯正 — 臺灣視光視力保健學會 執筆</w:t>
      </w:r>
    </w:p>
    <w:p>
      <w:pPr>
        <w:pStyle w:val="Heading3"/>
      </w:pPr>
      <w:r>
        <w:t>2.2.1 矯正核心原則：遠方視力「足度全矯正」之生理實證</w:t>
      </w:r>
    </w:p>
    <w:p>
      <w:pPr>
        <w:spacing w:after="120"/>
        <w:jc w:val="both"/>
      </w:pPr>
      <w:r>
        <w:t>本會基於國際 IMI 指引與 ATOM/LAMP 等大型研究，嚴正強調：任何近視控制手段（包括散瞳劑），其療效必須建立在「遠方視力足度全矯正 (Full Correction)」的前提下。</w:t>
      </w:r>
    </w:p>
    <w:p>
      <w:pPr>
        <w:ind w:left="720" w:right="720"/>
        <w:shd w:val="clear" w:color="auto" w:fill="F4F4F4"/>
      </w:pPr>
      <w:r>
        <w:rPr>
          <w:i/>
          <w:b/>
          <w:color w:val="555555"/>
        </w:rPr>
        <w:t>生理機制證明：未足度矯正（欠矯正）導致之模糊影像（Blur）會誘發眼球後離焦訊號，進而刺激眼球眼軸代償性增長。點藥前若未確保光學矯正之精準度，將直接抵消藥物抑制效果。</w:t>
      </w:r>
    </w:p>
    <w:p>
      <w:pPr>
        <w:pStyle w:val="Heading3"/>
      </w:pPr>
      <w:r>
        <w:t>2.2.2 藥物介入：低濃度阿托品與 LAMP 研究之深度應用</w:t>
      </w:r>
    </w:p>
    <w:p>
      <w:pPr>
        <w:spacing w:after="120"/>
        <w:jc w:val="both"/>
      </w:pPr>
      <w:r>
        <w:t>根據香港中文大學 LAMP 研究 (2019-2022)，0.05% 阿托品在亞洲學童中為「Sweet Spot」。</w:t>
      </w:r>
    </w:p>
    <w:p>
      <w:pPr>
        <w:ind w:left="420" w:hanging="420"/>
      </w:pPr>
      <w:r>
        <w:t>● 控制成效：0.05% 濃度對眼軸增長之抑制率約 0.25mm/年，顯著優於 0.01%。</w:t>
      </w:r>
    </w:p>
    <w:p>
      <w:pPr>
        <w:ind w:left="420" w:hanging="420"/>
      </w:pPr>
      <w:r>
        <w:t>● 副作用管理：0.05% 之畏光與調節力損失多數在學童耐受範圍，不影響戶外活動與近距離閱讀。</w:t>
      </w:r>
    </w:p>
    <w:p>
      <w:pPr>
        <w:ind w:left="420" w:hanging="420"/>
      </w:pPr>
      <w:r>
        <w:t>● 預防反彈 SOP：停藥必須採取「階梯式減量」，預防鞏膜重塑引發之代償性眼軸增長。</w:t>
      </w:r>
    </w:p>
    <w:p>
      <w:pPr>
        <w:pStyle w:val="Heading3"/>
      </w:pPr>
      <w:r>
        <w:t>2.2.3 雙眼視機能監測警語：驗光師的專業格調</w:t>
      </w:r>
    </w:p>
    <w:p>
      <w:pPr>
        <w:spacing w:after="120"/>
        <w:jc w:val="both"/>
      </w:pPr>
      <w:r>
        <w:t>長期使用散瞳劑會干擾「近見三連動」生理機制：</w:t>
      </w:r>
    </w:p>
    <w:p>
      <w:pPr>
        <w:ind w:left="420" w:hanging="420"/>
      </w:pPr>
      <w:r>
        <w:t>● AC/A Ratio 監控：需監測是否引發高 AC/A 伴隨內斜位傾向，避免閱讀時產生極大融像壓力。</w:t>
      </w:r>
    </w:p>
    <w:p>
      <w:pPr>
        <w:ind w:left="420" w:hanging="420"/>
      </w:pPr>
      <w:r>
        <w:t>● 調節滯後 (Lag)：藥物引發之調節力下降若未配合光學輔助，視網膜後離焦反而誘發度數加深。</w:t>
      </w:r>
    </w:p>
    <w:p>
      <w:pPr>
        <w:pStyle w:val="Heading3"/>
      </w:pPr>
      <w:r>
        <w:t>2.2.4 階梯式處置與良心醫療 SOP</w:t>
      </w:r>
    </w:p>
    <w:p>
      <w:pPr>
        <w:ind w:left="420" w:hanging="420"/>
      </w:pPr>
      <w:r>
        <w:t>● 單焦點觀察期：初診者先配單焦點足度鏡片，設定 3 個月觀察期，度數增加 &lt;25 度則維持原方案。</w:t>
      </w:r>
    </w:p>
    <w:p>
      <w:pPr>
        <w:ind w:left="420" w:hanging="420"/>
      </w:pPr>
      <w:r>
        <w:t>● Ortho-K Washout：角膜塑型片每年應安排寒暑假 2-4 週停戴期，以獲取真實屈光度數與角膜地形圖，這才是負責的臨床格調。</w:t>
      </w:r>
    </w:p>
    <w:p>
      <w:pPr>
        <w:pStyle w:val="Heading1"/>
      </w:pPr>
      <w:r>
        <w:t>3、 學童視力篩檢與矯正服務之離島跨領域合作模式</w:t>
      </w:r>
    </w:p>
    <w:p>
      <w:pPr>
        <w:pStyle w:val="Heading2"/>
      </w:pPr>
      <w:r>
        <w:t>3.1 偏鄉兒童視力保健問題 — 張麗春 教授</w:t>
      </w:r>
    </w:p>
    <w:p>
      <w:pPr>
        <w:shd w:val="clear" w:color="auto" w:fill="FFF2F2"/>
      </w:pPr>
      <w:r>
        <w:rPr>
          <w:color w:val="C00000"/>
          <w:i/>
        </w:rPr>
        <w:t>（請教授補充內容）</w:t>
      </w:r>
    </w:p>
    <w:p>
      <w:pPr>
        <w:pStyle w:val="Heading2"/>
      </w:pPr>
      <w:r>
        <w:t>3.2 跨領域服務模式 — 臺灣視光視力保健學會 執筆</w:t>
      </w:r>
    </w:p>
    <w:p>
      <w:pPr>
        <w:pStyle w:val="Heading3"/>
      </w:pPr>
      <w:r>
        <w:t>3.2.1 資源銜接：幼兒與學童視力之共同照護 (離島模式)</w:t>
      </w:r>
    </w:p>
    <w:p>
      <w:pPr>
        <w:spacing w:after="120"/>
        <w:jc w:val="both"/>
      </w:pPr>
      <w:r>
        <w:t>本模式核心在於「資源互補、醫教光聯動」。驗光人員作為視力保健的第一線偵查兵：</w:t>
      </w:r>
    </w:p>
    <w:p>
      <w:pPr>
        <w:ind w:left="420" w:hanging="420"/>
      </w:pPr>
      <w:r>
        <w:t>● 6 歲以下共同照護：嚴格遵守《驗光人員法》，由衛生所醫師進行基礎病理評估，驗光人員提供視覺環境諮詢與光學矯正評估，建立綠色轉介通道。</w:t>
      </w:r>
    </w:p>
    <w:p>
      <w:pPr>
        <w:ind w:left="420" w:hanging="420"/>
      </w:pPr>
      <w:r>
        <w:t>● 離島專業配套：因應 115 年落日條款，推動「種子計畫」與「遠距醫囑指導」，確保離島學童不因法規更迭而失去合法屈光照護。</w:t>
      </w:r>
    </w:p>
    <w:p>
      <w:pPr>
        <w:pStyle w:val="Heading2"/>
      </w:pPr>
      <w:r>
        <w:t>3.3 服務成效 — 臺灣視光視力保健學會 執筆</w:t>
      </w:r>
    </w:p>
    <w:p>
      <w:pPr>
        <w:pStyle w:val="Heading3"/>
      </w:pPr>
      <w:r>
        <w:t>3.3.1 專業傳承奇蹟：西莒學童返鄉案例</w:t>
      </w:r>
    </w:p>
    <w:p>
      <w:pPr>
        <w:spacing w:after="120"/>
        <w:jc w:val="both"/>
      </w:pPr>
      <w:r>
        <w:t>一位居住於西莒之學童受團隊啟發考取視光系並取得國考執照，於去年正式考取驗光師並返鄉服務。</w:t>
      </w:r>
    </w:p>
    <w:p>
      <w:pPr>
        <w:ind w:left="720" w:right="720"/>
        <w:shd w:val="clear" w:color="auto" w:fill="F4F4F4"/>
      </w:pPr>
      <w:r>
        <w:rPr>
          <w:i/>
          <w:b/>
          <w:color w:val="555555"/>
        </w:rPr>
        <w:t>這是 12 年離島服務最好的見證：讓昔日的「受助者」成長為今日的「守護者」，落實偏鄉醫療自立。</w:t>
      </w:r>
    </w:p>
    <w:p>
      <w:pPr>
        <w:pStyle w:val="Heading1"/>
      </w:pPr>
      <w:r>
        <w:t>4、 建議</w:t>
      </w:r>
    </w:p>
    <w:p>
      <w:pPr>
        <w:shd w:val="clear" w:color="auto" w:fill="FFF2F2"/>
      </w:pPr>
      <w:r>
        <w:rPr>
          <w:color w:val="C00000"/>
          <w:i/>
        </w:rPr>
        <w:t>（待補充）</w:t>
      </w:r>
    </w:p>
    <w:p>
      <w:pPr>
        <w:pStyle w:val="Heading1"/>
      </w:pPr>
      <w:r>
        <w:t>5、 結論</w:t>
      </w:r>
    </w:p>
    <w:p>
      <w:pPr>
        <w:shd w:val="clear" w:color="auto" w:fill="FFF2F2"/>
      </w:pPr>
      <w:r>
        <w:rPr>
          <w:color w:val="C00000"/>
          <w:i/>
        </w:rPr>
        <w:t>（待補充）</w:t>
      </w:r>
    </w:p>
    <w:p>
      <w:pPr>
        <w:pStyle w:val="Heading1"/>
      </w:pPr>
      <w:r>
        <w:t>6、 參考文獻</w:t>
      </w:r>
    </w:p>
    <w:p>
      <w:pPr>
        <w:shd w:val="clear" w:color="auto" w:fill="FFF2F2"/>
      </w:pPr>
      <w:r>
        <w:rPr>
          <w:color w:val="C00000"/>
          <w:i/>
        </w:rPr>
        <w:t>（待補充）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新細明體" w:hAnsi="Times New Roman"/>
        <w:sz w:val="24"/>
        <w:szCs w:val="24"/>
      </w:rPr>
    </w:rPrDefault>
  </w:docDefaults>
  <w:style w:type="paragraph" w:styleId="Heading1">
    <w:name w:val="heading 1"/>
    <w:rPr>
      <w:b/>
      <w:sz w:val="36"/>
      <w:szCs w:val="36"/>
      <w:color w:val="1A4A7C"/>
    </w:rPr>
    <w:pPr>
      <w:spacing w:before="480" w:after="240"/>
    </w:pPr>
  </w:style>
  <w:style w:type="paragraph" w:styleId="Heading2">
    <w:name w:val="heading 2"/>
    <w:rPr>
      <w:b/>
      <w:sz w:val="32"/>
      <w:szCs w:val="32"/>
      <w:color w:val="2E6DA4"/>
    </w:rPr>
    <w:pPr>
      <w:spacing w:before="360" w:after="180"/>
    </w:pPr>
  </w:style>
  <w:style w:type="paragraph" w:styleId="Heading3">
    <w:name w:val="heading 3"/>
    <w:rPr>
      <w:b/>
      <w:sz w:val="28"/>
      <w:szCs w:val="28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/Relationships>
</file>