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56"/>
          <w:szCs w:val="56"/>
        </w:rPr>
        <w:t>送愛到學校-離島跨領域合作模式 國家戰略報告</w:t>
      </w:r>
    </w:p>
    <w:p>
      <w:pPr>
        <w:jc w:val="center"/>
      </w:pPr>
      <w:r>
        <w:rPr>
          <w:sz w:val="28"/>
        </w:rPr>
        <w:t>專案報告：國家級視力保健戰略與離島跨領域實踐</w:t>
      </w:r>
    </w:p>
    <w:p>
      <w:pPr>
        <w:pStyle w:val="Heading1"/>
      </w:pPr>
      <w:r>
        <w:t>1、 前言 — 張麗春 教授</w:t>
      </w:r>
    </w:p>
    <w:p>
      <w:pPr>
        <w:shd w:val="clear" w:color="auto" w:fill="FFF2F2"/>
      </w:pPr>
      <w:r>
        <w:rPr>
          <w:color w:val="C00000"/>
          <w:i/>
        </w:rPr>
        <w:t>（請教授補充，建議將視力定義為國家「視覺資本」，與數位轉型红利掛鉤）</w:t>
      </w:r>
    </w:p>
    <w:p>
      <w:pPr>
        <w:pStyle w:val="Heading1"/>
      </w:pPr>
      <w:r>
        <w:t>2、 文獻查證</w:t>
      </w:r>
    </w:p>
    <w:p>
      <w:pPr>
        <w:pStyle w:val="Heading2"/>
      </w:pPr>
      <w:r>
        <w:t>2.1 學童視力保健現況 — 臺灣視光視力保健學會 執筆</w:t>
      </w:r>
    </w:p>
    <w:p>
      <w:pPr>
        <w:pStyle w:val="Heading3"/>
      </w:pPr>
      <w:r>
        <w:t>2.1.1 臺灣學童視力淪陷史：二十年數據之因果洞察</w:t>
      </w:r>
    </w:p>
    <w:p>
      <w:pPr>
        <w:spacing w:after="120"/>
        <w:jc w:val="both"/>
      </w:pPr>
      <w:r>
        <w:t>對比民國 94 與 113 學年度監測數據，我國學童視力健康呈現結構性潰散。</w:t>
      </w:r>
    </w:p>
    <w:p>
      <w:pPr>
        <w:ind w:left="560" w:hanging="280"/>
        <w:spacing w:after="60"/>
      </w:pPr>
      <w:r>
        <w:t>■ 【數位平權後的副作用】20 年前，都會與離島存在 18% 的發病紅利。然而隨「生生用平板」等數位學習普及化，若無配套的視光公衛介入，離島學童因缺乏戶外遮蔽物與高度數位依賴，視力不良率 (71.21%) 已實質追平本島。</w:t>
      </w:r>
    </w:p>
    <w:p>
      <w:pPr>
        <w:ind w:left="560" w:hanging="280"/>
        <w:spacing w:after="60"/>
      </w:pPr>
      <w:r>
        <w:t>■ 【國中惡化之『超速斷層』】數據顯示國一 (68%) 視力不良率已接近小六的兩倍。這代表「升學斷層」是視力崩壞的核彈，建議教育部將政策介入時點由被動追蹤轉向主動預警。</w:t>
      </w:r>
    </w:p>
    <w:p>
      <w:pPr>
        <w:ind w:left="560" w:hanging="280"/>
        <w:spacing w:after="60"/>
      </w:pPr>
      <w:r>
        <w:t>■ 【高度近視低齡化預警】高中三年級超過 35.7% 學生已達高度近視風險。這代表現行「看結果」的篩檢模式已無法應對長期健康風險。</w:t>
      </w:r>
    </w:p>
    <w:p>
      <w:pPr>
        <w:pStyle w:val="Heading2"/>
      </w:pPr>
      <w:r>
        <w:t>2.2 學童視力治療與矯正 — 臺灣視光視力保健學會 執筆</w:t>
      </w:r>
    </w:p>
    <w:p>
      <w:pPr>
        <w:pStyle w:val="Heading3"/>
      </w:pPr>
      <w:r>
        <w:t>2.2.1 核心學理：『模糊即腦力浪費』與足度矯正</w:t>
      </w:r>
    </w:p>
    <w:p>
      <w:pPr>
        <w:spacing w:after="120"/>
        <w:jc w:val="both"/>
      </w:pPr>
      <w:r>
        <w:t>健康的視力是數位學習的基礎設施。本會嚴正強調：未足度矯正導致的模糊影像，不僅誘發眼軸增長，更會迫使大腦分配額外資源處理視覺模糊，直接侵蝕學童之學習專注力。</w:t>
      </w:r>
    </w:p>
    <w:p>
      <w:pPr>
        <w:ind w:left="720" w:right="720"/>
        <w:shd w:val="clear" w:color="auto" w:fill="F4F4F4"/>
        <w:spacing w:before="120" w:after="120"/>
      </w:pPr>
      <w:r>
        <w:rPr>
          <w:i/>
          <w:b/>
          <w:color w:val="555555"/>
        </w:rPr>
        <w:t>「足度全矯正 (Full Correction)」是所有干預措施的物理基石。確保驗光處方之像素級精準，就是守護學童的數位學習效率。</w:t>
      </w:r>
    </w:p>
    <w:p>
      <w:pPr>
        <w:pStyle w:val="Heading3"/>
      </w:pPr>
      <w:r>
        <w:t>2.2.2 近視管理之實證應用：0.05% 阿托品與光學友善性</w:t>
      </w:r>
    </w:p>
    <w:p>
      <w:pPr>
        <w:ind w:left="560" w:hanging="280"/>
        <w:spacing w:after="60"/>
      </w:pPr>
      <w:r>
        <w:t>■ 【0.05% Sweet Spot】根據 LAMP 研究，此濃度在抑制眼軸增長 (~0.25mm/年) 與維持生活品質間達成最佳平衡。</w:t>
      </w:r>
    </w:p>
    <w:p>
      <w:pPr>
        <w:ind w:left="560" w:hanging="280"/>
        <w:spacing w:after="60"/>
      </w:pPr>
      <w:r>
        <w:t>■ 【光學介入之環保優勢】強調周邊離焦鏡片 (DIMS/HAL) 與角膜塑型 (Ortho-K) 對學童參與戶外活動之友善性，有效銜接教育部「戶外活動 2 小時」之核心政策。</w:t>
      </w:r>
    </w:p>
    <w:p>
      <w:pPr>
        <w:ind w:left="560" w:hanging="280"/>
        <w:spacing w:after="60"/>
      </w:pPr>
      <w:r>
        <w:t>■ 【SOP 規範】收錄 Ortho-K 之寒暑假 2-4 週 Washout SOP，展現臨床格調。</w:t>
      </w:r>
    </w:p>
    <w:p>
      <w:pPr>
        <w:pStyle w:val="Heading1"/>
      </w:pPr>
      <w:r>
        <w:t>3、 離島跨領域合作模式：連江模式 (The Matsu Model)</w:t>
      </w:r>
    </w:p>
    <w:p>
      <w:pPr>
        <w:pStyle w:val="Heading2"/>
      </w:pPr>
      <w:r>
        <w:t>3.2 跨領域服務模式實踐：醫、教、光三方守護閉環</w:t>
      </w:r>
    </w:p>
    <w:p>
      <w:pPr>
        <w:pStyle w:val="Heading3"/>
      </w:pPr>
      <w:r>
        <w:t>3.2.1 離島專項：6 歲以下幼兒之預警與共同照護</w:t>
      </w:r>
    </w:p>
    <w:p>
      <w:pPr>
        <w:spacing w:after="120"/>
        <w:jc w:val="both"/>
      </w:pPr>
      <w:r>
        <w:t>本計畫建立了一套可複製的『連江模式』，徹底解決偏鄉資源真空問題：</w:t>
      </w:r>
    </w:p>
    <w:p>
      <w:pPr>
        <w:ind w:left="560" w:hanging="280"/>
        <w:spacing w:after="60"/>
      </w:pPr>
      <w:r>
        <w:t>■ 【視光偵查兵機制】驗光人員運用檢影鏡 (Retinoscopy) 執行非接觸式評估，監測學齡前幼兒之「遠視儲備」消耗速度，並以此作為醫師診斷之關鍵前導指標。</w:t>
      </w:r>
    </w:p>
    <w:p>
      <w:pPr>
        <w:ind w:left="560" w:hanging="280"/>
        <w:spacing w:after="60"/>
      </w:pPr>
      <w:r>
        <w:t>■ 【115 年法規斷崖應對】針對民國 115 年落日條款，提出「離島遠距醫囑指導」與「種子人才計畫」，確保偏鄉學童不因法規更迭失去合法屈光照護。</w:t>
      </w:r>
    </w:p>
    <w:p>
      <w:pPr>
        <w:pStyle w:val="Heading2"/>
      </w:pPr>
      <w:r>
        <w:t>3.3 服務成效：翻轉生命之傳承</w:t>
      </w:r>
    </w:p>
    <w:p>
      <w:pPr>
        <w:ind w:left="720" w:right="720"/>
        <w:shd w:val="clear" w:color="auto" w:fill="F4F4F4"/>
        <w:spacing w:before="120" w:after="120"/>
      </w:pPr>
      <w:r>
        <w:rPr>
          <w:i/>
          <w:b/>
          <w:color w:val="555555"/>
        </w:rPr>
        <w:t>【成效巔峰】西莒學童由「受助者」成長為「國家級驗光師」返鄉服務。這不只是個案，而是「偏鄉醫療自立」的終極模型，顯著降低了政府長規補助支出。</w:t>
      </w:r>
    </w:p>
    <w:p>
      <w:pPr>
        <w:pStyle w:val="Heading1"/>
      </w:pPr>
      <w:r>
        <w:t>4、 國家級政策訴求</w:t>
      </w:r>
    </w:p>
    <w:p>
      <w:pPr>
        <w:ind w:left="560" w:hanging="280"/>
        <w:spacing w:after="60"/>
      </w:pPr>
      <w:r>
        <w:t>■ 【倡議一】將「眼軸長 (Axial Length)」納入健檢常規紀錄，建立「學生視力健康護照 (Vision Passport)」。</w:t>
      </w:r>
    </w:p>
    <w:p>
      <w:pPr>
        <w:ind w:left="560" w:hanging="280"/>
        <w:spacing w:after="60"/>
      </w:pPr>
      <w:r>
        <w:t>■ 【倡議二】將具國考證照之驗光人員正式制度化納入校園視力守護體系。</w:t>
      </w:r>
    </w:p>
    <w:p>
      <w:pPr>
        <w:pStyle w:val="Heading1"/>
      </w:pPr>
      <w:r>
        <w:t>5、 結論與建議</w:t>
      </w:r>
    </w:p>
    <w:p>
      <w:pPr>
        <w:shd w:val="clear" w:color="auto" w:fill="FFF2F2"/>
      </w:pPr>
      <w:r>
        <w:rPr>
          <w:color w:val="C00000"/>
          <w:i/>
        </w:rPr>
        <w:t>（待補充）</w:t>
      </w:r>
    </w:p>
    <w:p>
      <w:pPr>
        <w:pStyle w:val="Heading1"/>
      </w:pPr>
      <w:r>
        <w:t>6、 參考文獻</w:t>
      </w:r>
    </w:p>
    <w:p>
      <w:pPr>
        <w:shd w:val="clear" w:color="auto" w:fill="FFF2F2"/>
      </w:pPr>
      <w:r>
        <w:rPr>
          <w:color w:val="C00000"/>
          <w:i/>
        </w:rPr>
        <w:t>（待補充）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新細明體" w:hAnsi="Times New Roman"/>
        <w:sz w:val="24"/>
        <w:szCs w:val="24"/>
      </w:rPr>
    </w:rPrDefault>
  </w:docDefaults>
  <w:style w:type="paragraph" w:styleId="Heading1">
    <w:name w:val="heading 1"/>
    <w:rPr>
      <w:b/>
      <w:sz w:val="36"/>
      <w:szCs w:val="36"/>
      <w:color w:val="1A4A7C"/>
    </w:rPr>
    <w:pPr>
      <w:spacing w:before="480" w:after="240"/>
    </w:pPr>
  </w:style>
  <w:style w:type="paragraph" w:styleId="Heading2">
    <w:name w:val="heading 2"/>
    <w:rPr>
      <w:b/>
      <w:sz w:val="32"/>
      <w:szCs w:val="32"/>
      <w:color w:val="2E6DA4"/>
    </w:rPr>
    <w:pPr>
      <w:spacing w:before="360" w:after="180"/>
    </w:pPr>
  </w:style>
  <w:style w:type="paragraph" w:styleId="Heading3">
    <w:name w:val="heading 3"/>
    <w:rPr>
      <w:b/>
      <w:sz w:val="28"/>
      <w:szCs w:val="28"/>
      <w:color w:val="333333"/>
    </w:rPr>
    <w:pPr>
      <w:spacing w:before="240" w:after="120"/>
    </w:pPr>
  </w:style>
</w:styles>
</file>

<file path=word/_rels/document.xml.rels><?xml version="1.0" encoding="UTF-8" standalone="yes"?><Relationships xmlns="http://schemas.openxmlformats.org/package/2006/relationships"><Relationship Id="rStyle" Type="http://schemas.openxmlformats.org/officeDocument/2006/relationships/styles" Target="styles.xml"/></Relationships>
</file>