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  <w:szCs w:val="48"/>
        </w:rPr>
        <w:t>送愛到學校-學童視力篩檢與矯正服務之離島跨領域合作模式</w:t>
      </w:r>
    </w:p>
    <w:p>
      <w:pPr>
        <w:pStyle w:val="Heading1"/>
      </w:pPr>
      <w:r>
        <w:t>1. 前言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1"/>
      </w:pPr>
      <w:r>
        <w:t>2. 文獻查證</w:t>
      </w:r>
    </w:p>
    <w:p>
      <w:pPr>
        <w:pStyle w:val="Heading2"/>
      </w:pPr>
      <w:r>
        <w:t>2.1 學童視力保健現況 — 臺灣視光視力保健學會 執筆</w:t>
      </w:r>
    </w:p>
    <w:p>
      <w:pPr>
        <w:pStyle w:val="Heading3"/>
      </w:pPr>
      <w:r>
        <w:t>2.1.1 全國視力惡化趨勢之結構性剖析</w:t>
      </w:r>
    </w:p>
    <w:p>
      <w:r>
        <w:t>根據教育部長周期數據顯示，我國學童視力健康呈現結構性惡化。儘管各類防治政策推行多年，但整體視力不良率仍維持高位。</w:t>
      </w:r>
    </w:p>
    <w:p>
      <w:pPr>
        <w:ind w:left="420" w:hanging="420"/>
      </w:pPr>
      <w:r>
        <w:t>• 112 學年度數據：小一 26.69%、小六 62.99%、國三 72.41%、高三 81.61%。</w:t>
      </w:r>
    </w:p>
    <w:p>
      <w:pPr>
        <w:ind w:left="420" w:hanging="420"/>
      </w:pPr>
      <w:r>
        <w:t>• 歷史高峰：小六不良率曾於 2011 年達到 65.0% 之歷史巔峰。</w:t>
      </w:r>
    </w:p>
    <w:p>
      <w:pPr>
        <w:ind w:left="420" w:hanging="420"/>
      </w:pPr>
      <w:r>
        <w:t>• 高度近視危機：高中三年級學生中，超過 35% 已達高度近視（&gt;500度），這將引發終生的視網膜剝離與黃斑部病變風險。</w:t>
      </w:r>
    </w:p>
    <w:p>
      <w:pPr>
        <w:pStyle w:val="Heading2"/>
      </w:pPr>
      <w:r>
        <w:t>2.2 學童視力治療與矯正 — 臺灣視光視力保健學會 執筆</w:t>
      </w:r>
    </w:p>
    <w:p>
      <w:pPr>
        <w:pStyle w:val="Heading3"/>
      </w:pPr>
      <w:r>
        <w:t>2.2.1 矯正核心原則：遠方視力「足度全矯正」</w:t>
      </w:r>
    </w:p>
    <w:p>
      <w:r>
        <w:t>本會基於國際 IMI 指引與 LAMP 研究，散瞳劑（阿托品）療效必須建立在「足度全矯正 (Full Correction)」基礎上。</w:t>
      </w:r>
    </w:p>
    <w:p>
      <w:pPr>
        <w:ind w:left="720" w:right="720"/>
        <w:shd w:val="clear" w:color="auto" w:fill="F9F9F9"/>
      </w:pPr>
      <w:r>
        <w:rPr>
          <w:i/>
          <w:color w:val="666666"/>
        </w:rPr>
        <w:t>未足度矯正導致之模糊影像（Blur）會誘發化學訊號刺激眼軸增長，直接抵消藥物抑制效果。凡近視者，點藥前必須確保光學矯正之精準度。</w:t>
      </w:r>
    </w:p>
    <w:p>
      <w:pPr>
        <w:pStyle w:val="Heading3"/>
      </w:pPr>
      <w:r>
        <w:t>2.2.2 藥物介入：0.05% 阿托品之黃金平衡點</w:t>
      </w:r>
    </w:p>
    <w:p>
      <w:r>
        <w:t>研究顯示 0.05% 阿托品在控制眼軸增長上效果顯著且副作用極低。停藥時必須採「階梯式減量」，預防反彈效應。</w:t>
      </w:r>
    </w:p>
    <w:p>
      <w:pPr>
        <w:pStyle w:val="Heading3"/>
      </w:pPr>
      <w:r>
        <w:t>2.2.3 階梯式處置原則：基礎矯正優先</w:t>
      </w:r>
    </w:p>
    <w:p>
      <w:pPr>
        <w:ind w:left="420" w:hanging="420"/>
      </w:pPr>
      <w:r>
        <w:t>• 單焦點鏡片 (SVL)：對於初次發現近視者，足度矯正之單焦點鏡片仍為第一線標準配備。設定 3 個月黃金追蹤期。</w:t>
      </w:r>
    </w:p>
    <w:p>
      <w:pPr>
        <w:ind w:left="420" w:hanging="420"/>
      </w:pPr>
      <w:r>
        <w:t>• 光學控制：若追蹤顯示快速進展，應升級至角膜塑型 (Ortho-K) 或周邊離焦眼鏡 (DIMS/HAL)。</w:t>
      </w:r>
    </w:p>
    <w:p>
      <w:pPr>
        <w:pStyle w:val="Heading3"/>
      </w:pPr>
      <w:r>
        <w:t>2.2.4 雙眼視機能監測警語</w:t>
      </w:r>
    </w:p>
    <w:p>
      <w:r>
        <w:t>長期使用散瞳劑會抑制調節與瞳孔收縮，可能影響 AC/A ratio，導致雙眼視覺協調問題。應定期監測調節幅度與融像範圍。</w:t>
      </w:r>
    </w:p>
    <w:p>
      <w:pPr>
        <w:pStyle w:val="Heading1"/>
      </w:pPr>
      <w:r>
        <w:t>3. 學童視力篩檢與矯正服務之離島跨領域合作模式</w:t>
      </w:r>
    </w:p>
    <w:p>
      <w:pPr>
        <w:pStyle w:val="Heading2"/>
      </w:pPr>
      <w:r>
        <w:t>3.1 偏鄉兒童視力保健問題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2"/>
      </w:pPr>
      <w:r>
        <w:t>3.2 跨領域服務模式 — 臺灣視光視力保健學會 執筆</w:t>
      </w:r>
    </w:p>
    <w:p>
      <w:pPr>
        <w:pStyle w:val="Heading3"/>
      </w:pPr>
      <w:r>
        <w:t>3.2.1 法規與人力的結構性困境</w:t>
      </w:r>
    </w:p>
    <w:p>
      <w:r>
        <w:t>「法規最嚴、現場最鬆」的矛盾：驗光人員法禁止驗光師對 6 歲以下驗光，但眼科現場卻常由無證照人員操作。應由醫師親自操作。</w:t>
      </w:r>
    </w:p>
    <w:p>
      <w:pPr>
        <w:pStyle w:val="Heading3"/>
      </w:pPr>
      <w:r>
        <w:t>3.3 服務成效 — 臺灣視光視力保健學會 執筆</w:t>
      </w:r>
    </w:p>
    <w:p>
      <w:pPr>
        <w:pStyle w:val="Heading3"/>
      </w:pPr>
      <w:r>
        <w:t>3.3.1 專業傳承奇蹟：西莒學童的真實故事</w:t>
      </w:r>
    </w:p>
    <w:p>
      <w:r>
        <w:t>一位居住於西莒的學童考取視光系，並於去年考取「國家驗光師執照」。這是 12 年離島服務最好的見證。</w:t>
      </w:r>
    </w:p>
    <w:p>
      <w:pPr>
        <w:pStyle w:val="Heading1"/>
      </w:pPr>
      <w:r>
        <w:t>4. 建議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  <w:p>
      <w:pPr>
        <w:pStyle w:val="Heading1"/>
      </w:pPr>
      <w:r>
        <w:t>5. 結論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  <w:p>
      <w:pPr>
        <w:pStyle w:val="Heading1"/>
      </w:pPr>
      <w:r>
        <w:t>6. 參考文獻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hint="eastAsia" w:ascii="Times New Roman" w:eastAsia="新細明體"/>
      </w:rPr>
    </w:rPrDefault>
  </w:docDefaults>
  <w:style w:type="paragraph" w:styleId="Heading1">
    <w:name w:val="heading 1"/>
    <w:rPr>
      <w:b/>
      <w:sz w:val="36"/>
      <w:szCs w:val="36"/>
      <w:color w:val="1A4A7C"/>
    </w:rPr>
  </w:style>
  <w:style w:type="paragraph" w:styleId="Heading2">
    <w:name w:val="heading 2"/>
    <w:rPr>
      <w:b/>
      <w:sz w:val="32"/>
      <w:szCs w:val="32"/>
      <w:color w:val="2E6DA4"/>
    </w:rPr>
  </w:style>
  <w:style w:type="paragraph" w:styleId="Heading3">
    <w:name w:val="heading 3"/>
    <w:rPr>
      <w:b/>
      <w:sz w:val="28"/>
      <w:szCs w:val="28"/>
      <w:color w:val="44444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