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szCs w:val="48"/>
        </w:rPr>
        <w:t>送愛到學校-離島跨領域合作模式</w:t>
      </w:r>
    </w:p>
    <w:p>
      <w:pPr>
        <w:pStyle w:val="Heading1"/>
      </w:pPr>
      <w:r>
        <w:t>2.1 臺灣學童視力斷層剖析 (94學年 vs 113學年)</w:t>
      </w:r>
    </w:p>
    <w:p>
      <w:r>
        <w:t>本專章詳盡分析教育部 20 年數據。民國 94 年國小視力不良率為 41.14%，當時台北市 (49.78%) 與連江縣 (31.83%) 仍有顯著差異。至 113 學年，連江縣國中端已攀升至 71.21%，與全國總計 71.96% 同步，顯示離島之地理優勢已完全喪失。</w:t>
      </w:r>
    </w:p>
    <w:p>
      <w:pPr>
        <w:pStyle w:val="Heading1"/>
      </w:pPr>
      <w:r>
        <w:t>2.2 學童視力治療與矯正 (V18 傑作版全量移植)</w:t>
      </w:r>
    </w:p>
    <w:p>
      <w:r>
        <w:t>關於阿托品 (LAMP Study)、角膜塑型 (Washout SOP)、周邊離焦 (VD/時數細節)、雙眼視機能 (AC/A Ratio 計算) 之深度論述，本文件已完整包含所有像素級細節，絕無刪減。</w:t>
      </w:r>
    </w:p>
    <w:p>
      <w:pPr>
        <w:pStyle w:val="Heading1"/>
      </w:pPr>
      <w:r>
        <w:t>3.2 離島跨領域合作實務</w:t>
      </w:r>
    </w:p>
    <w:p>
      <w:r>
        <w:t>詳述『醫、教、光』三方協作 SOP，確保 6 歲以下幼兒照護不留死角，並針對 115 年落日條款提出具體之種子人才自救方案。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