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高級中等以下學校學生視力保健手冊</w:t>
      </w:r>
    </w:p>
    <w:p>
      <w:pPr>
        <w:pStyle w:val="Heading2"/>
      </w:pPr>
      <w:r>
        <w:rPr>
          <w:b/>
        </w:rPr>
        <w:t>以實證為基礎的視力保健指引與政策建議（2026年正式修訂全本）</w:t>
      </w:r>
    </w:p>
    <w:p>
      <w:pPr>
        <w:pStyle w:val="Normal"/>
      </w:pPr>
      <w:r>
        <w:t/>
        <w:rPr>
          <w:b/>
        </w:rPr>
        <w:t>臺灣視光視力保健學會 編撰</w:t>
        <w:t/>
      </w:r>
    </w:p>
    <w:p>
      <w:pPr>
        <w:pStyle w:val="Normal"/>
      </w:pPr>
      <w:r>
        <w:t/>
        <w:rPr>
          <w:b/>
        </w:rPr>
        <w:t>2026 年 2 月（數據同步暨政策銜接鉅細靡遺版）</w:t>
        <w:t/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1 版權聲明</w:t>
      </w:r>
    </w:p>
    <w:p>
      <w:pPr>
        <w:pStyle w:val="Normal"/>
      </w:pPr>
      <w:r>
        <w:t>高級中等以下學校學生視力保健手冊</w:t>
      </w:r>
    </w:p>
    <w:p>
      <w:pPr>
        <w:pStyle w:val="Normal"/>
      </w:pPr>
      <w:r>
        <w:t>發行單位：臺灣視光視力保健學會</w:t>
      </w:r>
    </w:p>
    <w:p>
      <w:pPr>
        <w:pStyle w:val="Normal"/>
      </w:pPr>
      <w:r>
        <w:t>版次：2026 年 1 月 初版（2026 年 2 月 政策銜接修訂）</w:t>
      </w:r>
    </w:p>
    <w:p>
      <w:r>
        <w:t/>
      </w:r>
    </w:p>
    <w:p>
      <w:pPr>
        <w:pStyle w:val="Normal"/>
      </w:pPr>
      <w:r>
        <w:t/>
        <w:rPr>
          <w:b/>
        </w:rPr>
        <w:t>著作權聲明</w:t>
        <w:t/>
      </w:r>
    </w:p>
    <w:p>
      <w:pPr>
        <w:pStyle w:val="Normal"/>
      </w:pPr>
      <w:r>
        <w:t>本手冊著作權屬臺灣視光視力保健學會所有。歡迎各級學校、教育機關、衛生單位基於教育及公益目的引用或轉載，惟須註明出處。</w:t>
      </w:r>
    </w:p>
    <w:p>
      <w:r>
        <w:t/>
      </w:r>
    </w:p>
    <w:p>
      <w:pPr>
        <w:pStyle w:val="Normal"/>
      </w:pPr>
      <w:r>
        <w:t/>
        <w:rPr>
          <w:b/>
        </w:rPr>
        <w:t>免責聲明</w:t>
        <w:t/>
      </w:r>
    </w:p>
    <w:p>
      <w:pPr>
        <w:pStyle w:val="Normal"/>
      </w:pPr>
      <w:r>
        <w:t>本手冊內容係依據現有科學證據與專業共識編撰，僅供參考。個別學童之視力問題，仍應由合格專業人員（眼科醫師、驗光師）依個案情況判斷處置。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2 編輯說明</w:t>
      </w:r>
    </w:p>
    <w:p>
      <w:pPr>
        <w:pStyle w:val="Heading4"/>
      </w:pPr>
      <w:r>
        <w:rPr>
          <w:b/>
        </w:rPr>
        <w:t>2.1 手冊定位</w:t>
      </w:r>
    </w:p>
    <w:p>
      <w:pPr>
        <w:pStyle w:val="Normal"/>
      </w:pPr>
      <w:r>
        <w:t>本手冊係臺灣視光視力保健學會基於專業立場，針對我國學童視力保健現況所編撰之參考指引。內容涵蓋近視預防、控制方法、學校執行方案及驗光師角色等面向，旨在提供教育及衛生主管機關、學校、家長一份以實證為基礎的專業建議。</w:t>
      </w:r>
    </w:p>
    <w:p>
      <w:r>
        <w:t/>
      </w:r>
    </w:p>
    <w:p>
      <w:pPr>
        <w:pStyle w:val="Heading4"/>
      </w:pPr>
      <w:r>
        <w:rPr>
          <w:b/>
        </w:rPr>
        <w:t>2.2 核心主張</w:t>
      </w:r>
    </w:p>
    <w:p>
      <w:pPr>
        <w:pStyle w:val="Normal"/>
      </w:pPr>
      <w:r>
        <w:t>1. 預防重於治療：強調戶外活動等環境介入</w:t>
      </w:r>
    </w:p>
    <w:p>
      <w:pPr>
        <w:pStyle w:val="Normal"/>
      </w:pPr>
      <w:r>
        <w:t>2. 實證為本：所有建議皆有研究支持</w:t>
      </w:r>
    </w:p>
    <w:p>
      <w:pPr>
        <w:pStyle w:val="Normal"/>
      </w:pPr>
      <w:r>
        <w:t>3. 綜合策略：不依賴單一方法</w:t>
      </w:r>
    </w:p>
    <w:p>
      <w:pPr>
        <w:pStyle w:val="Normal"/>
      </w:pPr>
      <w:r>
        <w:t>4. 跨專業合作：驗光師、眼科、學校共同照護</w:t>
      </w:r>
    </w:p>
    <w:p>
      <w:pPr>
        <w:pStyle w:val="Normal"/>
      </w:pPr>
      <w:r>
        <w:t>5. 可執行性：在現行法規與體制內可落實</w:t>
      </w:r>
    </w:p>
    <w:p>
      <w:pPr>
        <w:pStyle w:val="Normal"/>
      </w:pPr>
      <w:r>
        <w:t>6. 全齡視野：從學童近視延伸至全民視力健康</w:t>
      </w:r>
    </w:p>
    <w:p>
      <w:pPr>
        <w:pStyle w:val="Normal"/>
      </w:pPr>
      <w:r>
        <w:t>7. 城鄉均衡：關注偏鄉醫療資源不足的問題</w:t>
      </w:r>
    </w:p>
    <w:p>
      <w:r>
        <w:t/>
      </w:r>
    </w:p>
    <w:p>
      <w:pPr>
        <w:pStyle w:val="Heading4"/>
      </w:pPr>
      <w:r>
        <w:rPr>
          <w:b/>
        </w:rPr>
        <w:t>2.3 使用說明</w:t>
      </w:r>
    </w:p>
    <w:p>
      <w:pPr>
        <w:pStyle w:val="Normal"/>
      </w:pPr>
      <w:r>
        <w:t>* 第一至三章：基礎知識與預防策略，適合一般讀者</w:t>
      </w:r>
    </w:p>
    <w:p>
      <w:pPr>
        <w:pStyle w:val="Normal"/>
      </w:pPr>
      <w:r>
        <w:t>* 第四章：近視控制方法，適合專業人員與進階讀者</w:t>
      </w:r>
    </w:p>
    <w:p>
      <w:pPr>
        <w:pStyle w:val="Normal"/>
      </w:pPr>
      <w:r>
        <w:t>* 第五至六章：執行方案與專業角色，適合學校與衛生單位</w:t>
      </w:r>
    </w:p>
    <w:p>
      <w:pPr>
        <w:pStyle w:val="Normal"/>
      </w:pPr>
      <w:r>
        <w:t>* 第七章：常見問題，適合家長快速參考</w:t>
      </w:r>
    </w:p>
    <w:p>
      <w:pPr>
        <w:pStyle w:val="Normal"/>
      </w:pPr>
      <w:r>
        <w:t>* </w:t>
        <w:rPr>
          <w:b/>
        </w:rPr>
        <w:t>新增：第七章 政策建言專章</w:t>
        <w:t/>
      </w:r>
    </w:p>
    <w:p>
      <w:r>
        <w:t/>
      </w:r>
    </w:p>
    <w:p>
      <w:pPr>
        <w:pStyle w:val="Heading4"/>
      </w:pPr>
      <w:r>
        <w:rPr>
          <w:b/>
        </w:rPr>
        <w:t>2.4 引用格式</w:t>
      </w:r>
    </w:p>
    <w:p>
      <w:pPr>
        <w:pStyle w:val="Normal"/>
      </w:pPr>
      <w:r>
        <w:t>引用本手冊時，請註明：</w:t>
      </w:r>
    </w:p>
    <w:p>
      <w:pPr>
        <w:pStyle w:val="Normal"/>
      </w:pPr>
      <w:r>
        <w:t>臺灣視光視力保健學會（2026）。高級中等以下學校學生視力保健手冊（數據同步暨政策銜接修訂版）。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3 摘要</w:t>
      </w:r>
    </w:p>
    <w:p>
      <w:pPr>
        <w:pStyle w:val="Heading4"/>
      </w:pPr>
      <w:r>
        <w:rPr>
          <w:b/>
        </w:rPr>
        <w:t>3.1 背景</w:t>
      </w:r>
    </w:p>
    <w:p>
      <w:pPr>
        <w:pStyle w:val="Normal"/>
      </w:pPr>
      <w:r>
        <w:t>台灣學童近視率高居全球之冠，高中生近視率超過 80%，高度近視率超過 35%。民國 88 年起納入國家級防治體系之散瞳劑政策歷經 25 年，近視率在初期仍見惡化，顯示環境因素介入之急迫性。</w:t>
      </w:r>
    </w:p>
    <w:p>
      <w:r>
        <w:t/>
      </w:r>
    </w:p>
    <w:p>
      <w:pPr>
        <w:pStyle w:val="Heading4"/>
      </w:pPr>
      <w:r>
        <w:rPr>
          <w:b/>
        </w:rPr>
        <w:t>3.2 目的</w:t>
      </w:r>
    </w:p>
    <w:p>
      <w:pPr>
        <w:pStyle w:val="Normal"/>
      </w:pPr>
      <w:r>
        <w:t>提供以實證為基礎的建議，檢討現行政策實務困境，並提出具備行政效率之轉型路徑。</w:t>
      </w:r>
    </w:p>
    <w:p>
      <w:r>
        <w:t/>
      </w:r>
    </w:p>
    <w:p>
      <w:pPr>
        <w:pStyle w:val="Heading4"/>
      </w:pPr>
      <w:r>
        <w:rPr>
          <w:b/>
        </w:rPr>
        <w:t>3.3 主要發現</w:t>
      </w:r>
    </w:p>
    <w:p>
      <w:pPr>
        <w:pStyle w:val="Normal"/>
      </w:pPr>
      <w:r>
        <w:t>1. 戶外活動：每天 ≥2 小時可減少 46% 新發近視（證據等級：高）</w:t>
      </w:r>
    </w:p>
    <w:p>
      <w:pPr>
        <w:pStyle w:val="Normal"/>
      </w:pPr>
      <w:r>
        <w:t>2. 阿托品：0.05% 是目前國際共識的最佳濃度</w:t>
      </w:r>
    </w:p>
    <w:p>
      <w:pPr>
        <w:pStyle w:val="Normal"/>
      </w:pPr>
      <w:r>
        <w:t>3. 遠視儲備：適量即可（+1.00D 左右），過高反而有斜弱視風險</w:t>
      </w:r>
    </w:p>
    <w:p>
      <w:pPr>
        <w:pStyle w:val="Normal"/>
      </w:pPr>
      <w:r>
        <w:t>4. 現行轉介機制：存在「眼科壅塞」與「幼兒檢測品質不一」等實務執行困境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4 第一章：前言</w:t>
      </w:r>
    </w:p>
    <w:p>
      <w:r>
        <w:t/>
      </w:r>
    </w:p>
    <w:p>
      <w:pPr>
        <w:pStyle w:val="Heading4"/>
      </w:pPr>
      <w:r>
        <w:rPr>
          <w:b/>
        </w:rPr>
        <w:t>4.1 台灣學童近視現況與視力變遷分析 (93-113 學年度)</w:t>
      </w:r>
    </w:p>
    <w:p>
      <w:pPr>
        <w:pStyle w:val="Normal"/>
      </w:pPr>
      <w:r>
        <w:t>台灣是全球近視盛行率最高之區域。視力不良之本質絕大多數為近視造成的眼軸不正常拉長，此為不可逆之生理結構改變。</w:t>
      </w:r>
    </w:p>
    <w:p>
      <w:r>
        <w:t/>
      </w:r>
    </w:p>
    <w:p>
      <w:pPr>
        <w:pStyle w:val="Normal"/>
      </w:pPr>
      <w:r>
        <w:t/>
        <w:rPr>
          <w:b/>
        </w:rPr>
        <w:t>4.1.1 各階段學生視力不良率（2024 年最新指標）</w:t>
        <w:t/>
      </w:r>
    </w:p>
    <w:p>
      <w:pPr>
        <w:pStyle w:val="Normal"/>
      </w:pPr>
      <w:r>
        <w:t>* 國小一年級：25.9%</w:t>
      </w:r>
    </w:p>
    <w:p>
      <w:pPr>
        <w:pStyle w:val="Normal"/>
      </w:pPr>
      <w:r>
        <w:t>* 國小六年級：61.5%</w:t>
      </w:r>
    </w:p>
    <w:p>
      <w:pPr>
        <w:pStyle w:val="Normal"/>
      </w:pPr>
      <w:r>
        <w:t>* 國中三年級：76.0%</w:t>
      </w:r>
    </w:p>
    <w:p>
      <w:pPr>
        <w:pStyle w:val="Normal"/>
      </w:pPr>
      <w:r>
        <w:t>* 高中三年級：83.7%</w:t>
      </w:r>
    </w:p>
    <w:p>
      <w:r>
        <w:t/>
      </w:r>
    </w:p>
    <w:p>
      <w:pPr>
        <w:pStyle w:val="Normal"/>
      </w:pPr>
      <w:r>
        <w:t/>
        <w:rPr>
          <w:b/>
        </w:rPr>
        <w:t>4.1.2 近視率長期變化趨勢與關鍵數據校正</w:t>
        <w:t/>
      </w:r>
    </w:p>
    <w:p>
      <w:pPr>
        <w:pStyle w:val="Normal"/>
      </w:pPr>
      <w:r>
        <w:t>根據教育部 21 年長期數據，國小六年級（單一年級）之視力不良率變化如下：</w:t>
      </w:r>
    </w:p>
    <w:p>
      <w:pPr>
        <w:pStyle w:val="Normal"/>
      </w:pPr>
      <w:r>
        <w:t>指標 | 94 學年度 (2005) | 100 學年度 (2011 高峰) | 113 學年度 (2024) | 變化</w:t>
      </w:r>
    </w:p>
    <w:p>
      <w:pPr>
        <w:pStyle w:val="Normal"/>
      </w:pPr>
      <w:r>
        <w:t>---|---|---|---|---</w:t>
      </w:r>
    </w:p>
    <w:p>
      <w:pPr>
        <w:pStyle w:val="Normal"/>
      </w:pPr>
      <w:r>
        <w:t>小六視力不良率 | 54.8% | 65.0% | 61.5% | +6.7%</w:t>
      </w:r>
    </w:p>
    <w:p>
      <w:pPr>
        <w:pStyle w:val="Normal"/>
      </w:pPr>
      <w:r>
        <w:t>國三視力不良率 | 71.6% | 77.7% | 76.0% | +4.4%</w:t>
      </w:r>
    </w:p>
    <w:p>
      <w:pPr>
        <w:pStyle w:val="Normal"/>
      </w:pPr>
      <w:r>
        <w:t>高三視力不良率 | 86.0% | 87.7% | 83.7% | -2.3%</w:t>
      </w:r>
    </w:p>
    <w:p>
      <w:r>
        <w:t/>
      </w:r>
    </w:p>
    <w:p>
      <w:pPr>
        <w:pStyle w:val="Normal"/>
      </w:pPr>
      <w:r>
        <w:t/>
        <w:rPr>
          <w:b/>
        </w:rPr>
        <w:t>數據解析與發現</w:t>
        <w:t>：</w:t>
      </w:r>
    </w:p>
    <w:p>
      <w:pPr>
        <w:pStyle w:val="Normal"/>
      </w:pPr>
      <w:r>
        <w:t>* 100 學年度 (2011) 為台灣學童視力健康之最黑暗期。</w:t>
      </w:r>
    </w:p>
    <w:p>
      <w:pPr>
        <w:pStyle w:val="Normal"/>
      </w:pPr>
      <w:r>
        <w:t>* 文中 65.0% 數據係指「國小六年級單一年級」指標，以區別於教育部統計之「國小全體平均視力不良率」（約 50.0%）。</w:t>
      </w:r>
    </w:p>
    <w:p>
      <w:pPr>
        <w:pStyle w:val="Normal"/>
      </w:pPr>
      <w:r>
        <w:t>* 2011 年後雖因政策調整緩慢下降，但至 2024 年仍未回歸 2005 年之基線水準。</w:t>
      </w:r>
    </w:p>
    <w:p>
      <w:r>
        <w:t/>
      </w:r>
    </w:p>
    <w:p>
      <w:pPr>
        <w:pStyle w:val="Normal"/>
      </w:pPr>
      <w:r>
        <w:t/>
        <w:rPr>
          <w:b/>
        </w:rPr>
        <w:t>4.1.3 視力惡化的兩個關鍵「失速點」 (目鏡大叔洞察)</w:t>
        <w:t/>
      </w:r>
    </w:p>
    <w:p>
      <w:pPr>
        <w:pStyle w:val="Normal"/>
      </w:pPr>
      <w:r>
        <w:t>1. 調節壓力期（國小中年級）：隨課業量增加，近距離用眼時數爆增。</w:t>
      </w:r>
    </w:p>
    <w:p>
      <w:pPr>
        <w:pStyle w:val="Normal"/>
      </w:pPr>
      <w:r>
        <w:t>2. 近視加速期（國小升國中）：生理發育高峰與升學會考壓力交織，眼軸增長速度達到生涯峰值。</w:t>
      </w:r>
    </w:p>
    <w:p>
      <w:r>
        <w:t/>
      </w:r>
    </w:p>
    <w:p>
      <w:pPr>
        <w:pStyle w:val="Normal"/>
      </w:pPr>
      <w:r>
        <w:t/>
        <w:rPr>
          <w:b/>
        </w:rPr>
        <w:t>4.1.4 影響因素分析：環境與性別</w:t>
        <w:t/>
      </w:r>
    </w:p>
    <w:p>
      <w:pPr>
        <w:pStyle w:val="Normal"/>
      </w:pPr>
      <w:r>
        <w:t>* 性別差異：研究顯示女性學生之視力不良率普遍高於男性。</w:t>
      </w:r>
    </w:p>
    <w:p>
      <w:pPr>
        <w:pStyle w:val="Normal"/>
      </w:pPr>
      <w:r>
        <w:t>* 學習環境：私立學校學生視力不良率顯著高於公立學校（近距離用眼時數長）。</w:t>
      </w:r>
    </w:p>
    <w:p>
      <w:pPr>
        <w:pStyle w:val="Normal"/>
      </w:pPr>
      <w:r>
        <w:t>* 區域效應：高度競爭之都會區（視力熱區）遠高於東部及離島，「環境」是決定因素。</w:t>
      </w:r>
    </w:p>
    <w:p>
      <w:r>
        <w:t/>
      </w:r>
    </w:p>
    <w:p>
      <w:pPr>
        <w:pStyle w:val="Normal"/>
      </w:pPr>
      <w:r>
        <w:t/>
        <w:rPr>
          <w:b/>
        </w:rPr>
        <w:t>4.1.5 高度近視盛行率</w:t>
        <w:t/>
      </w:r>
    </w:p>
    <w:p>
      <w:pPr>
        <w:pStyle w:val="Normal"/>
      </w:pPr>
      <w:r>
        <w:t>國小六年級：10.3%；國中三年級：28.0%；高中三年級：35.7%。超過三分之一高中生面臨終生致盲風險。</w:t>
      </w:r>
    </w:p>
    <w:p>
      <w:r>
        <w:t/>
      </w:r>
    </w:p>
    <w:p>
      <w:pPr>
        <w:pStyle w:val="Heading4"/>
      </w:pPr>
      <w:r>
        <w:rPr>
          <w:b/>
        </w:rPr>
        <w:t>4.2 1.2 國家視力保健政策檢討</w:t>
      </w:r>
    </w:p>
    <w:p>
      <w:pPr>
        <w:pStyle w:val="Normal"/>
      </w:pPr>
      <w:r>
        <w:t/>
        <w:rPr>
          <w:b/>
        </w:rPr>
        <w:t>4.2.1 散瞳劑政策回顧</w:t>
        <w:t/>
      </w:r>
    </w:p>
    <w:p>
      <w:pPr>
        <w:pStyle w:val="Normal"/>
      </w:pPr>
      <w:r>
        <w:t>自 1999 年起，政府啟動「加強學生視力保健五年計畫」，正式將散瞳劑（阿托品）納入防治體系核心。</w:t>
      </w:r>
    </w:p>
    <w:p>
      <w:r>
        <w:t/>
      </w:r>
    </w:p>
    <w:p>
      <w:pPr>
        <w:pStyle w:val="Normal"/>
      </w:pPr>
      <w:r>
        <w:t/>
        <w:rPr>
          <w:b/>
        </w:rPr>
        <w:t>4.2.2 政策成效評估</w:t>
        <w:t/>
      </w:r>
    </w:p>
    <w:p>
      <w:pPr>
        <w:pStyle w:val="Normal"/>
      </w:pPr>
      <w:r>
        <w:t>政策推動初期（1999-2011），近視率仍持續惡化。顯示單一藥物策略亟需轉型。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5 第二章：近視的基礎知識</w:t>
      </w:r>
    </w:p>
    <w:p>
      <w:r>
        <w:t/>
      </w:r>
    </w:p>
    <w:p>
      <w:pPr>
        <w:pStyle w:val="Heading4"/>
      </w:pPr>
      <w:r>
        <w:rPr>
          <w:b/>
        </w:rPr>
        <w:t>5.1 什麼是近視</w:t>
      </w:r>
    </w:p>
    <w:p>
      <w:pPr>
        <w:pStyle w:val="Normal"/>
      </w:pPr>
      <w:r>
        <w:t/>
        <w:rPr>
          <w:b/>
        </w:rPr>
        <w:t>5.1.1 定義</w:t>
        <w:t>：眼球屈光力與眼軸長度不匹配，光線聚焦於視網膜前。</w:t>
      </w:r>
    </w:p>
    <w:p>
      <w:pPr>
        <w:pStyle w:val="Normal"/>
      </w:pPr>
      <w:r>
        <w:t/>
        <w:rPr>
          <w:b/>
        </w:rPr>
        <w:t>5.1.2 成因</w:t>
        <w:t>：軸性近視（眼軸過長）占 95% 以上。眼軸每增長 1 mm 約增加 250-300 度。</w:t>
      </w:r>
    </w:p>
    <w:p>
      <w:pPr>
        <w:pStyle w:val="Normal"/>
      </w:pPr>
      <w:r>
        <w:t/>
        <w:rPr>
          <w:b/>
        </w:rPr>
        <w:t>5.1.3 分類</w:t>
        <w:t>：台灣以 500 度作為高度近視標準。</w:t>
      </w:r>
    </w:p>
    <w:p>
      <w:pPr>
        <w:pStyle w:val="Normal"/>
      </w:pPr>
      <w:r>
        <w:t/>
        <w:rPr>
          <w:b/>
        </w:rPr>
        <w:t>5.1.4 真性 vs 假性</w:t>
        <w:t>：需經散瞳驗光區分。假性近視為睫狀肌痙攣；真性近視則為不可逆之眼軸增長。</w:t>
      </w:r>
    </w:p>
    <w:p>
      <w:r>
        <w:t/>
      </w:r>
    </w:p>
    <w:p>
      <w:pPr>
        <w:pStyle w:val="Heading4"/>
      </w:pPr>
      <w:r>
        <w:rPr>
          <w:b/>
        </w:rPr>
        <w:t>5.2 近視是怎麼發生的</w:t>
      </w:r>
    </w:p>
    <w:p>
      <w:pPr>
        <w:pStyle w:val="Normal"/>
      </w:pPr>
      <w:r>
        <w:t/>
        <w:rPr>
          <w:b/>
        </w:rPr>
        <w:t>5.2.1 眼球發育與正視化</w:t>
        <w:t>：人類出生多為遠視，隨著發育趨向正視。</w:t>
      </w:r>
    </w:p>
    <w:p>
      <w:pPr>
        <w:pStyle w:val="Normal"/>
      </w:pPr>
      <w:r>
        <w:t/>
        <w:rPr>
          <w:b/>
        </w:rPr>
        <w:t>5.2.3 遺傳因素</w:t>
        <w:t>：父母皆近視，子女風險約 45-60%。</w:t>
      </w:r>
    </w:p>
    <w:p>
      <w:pPr>
        <w:pStyle w:val="Normal"/>
      </w:pPr>
      <w:r>
        <w:t/>
        <w:rPr>
          <w:b/>
        </w:rPr>
        <w:t>5.2.4 環境因素</w:t>
        <w:t>：戶外活動時間長短與近視風險高度負相關。</w:t>
      </w:r>
    </w:p>
    <w:p>
      <w:r>
        <w:t/>
      </w:r>
    </w:p>
    <w:p>
      <w:pPr>
        <w:pStyle w:val="Heading4"/>
      </w:pPr>
      <w:r>
        <w:rPr>
          <w:b/>
        </w:rPr>
        <w:t>5.3 高度近視的併發症</w:t>
      </w:r>
    </w:p>
    <w:p>
      <w:pPr>
        <w:pStyle w:val="Normal"/>
      </w:pPr>
      <w:r>
        <w:t>高度近視（≥ 500度）是致盲性眼疾的溫床：</w:t>
      </w:r>
    </w:p>
    <w:p>
      <w:pPr>
        <w:pStyle w:val="Normal"/>
      </w:pPr>
      <w:r>
        <w:t>* 視網膜剝離：5-20 倍風險。</w:t>
      </w:r>
    </w:p>
    <w:p>
      <w:pPr>
        <w:pStyle w:val="Normal"/>
      </w:pPr>
      <w:r>
        <w:t>* 黃斑部病變：40-60 倍風險。</w:t>
      </w:r>
    </w:p>
    <w:p>
      <w:pPr>
        <w:pStyle w:val="Normal"/>
      </w:pPr>
      <w:r>
        <w:t>* 青光眼/白內障：2-5 倍風險。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6 第三章：近視預防策略</w:t>
      </w:r>
    </w:p>
    <w:p>
      <w:r>
        <w:t/>
      </w:r>
    </w:p>
    <w:p>
      <w:pPr>
        <w:pStyle w:val="Heading4"/>
      </w:pPr>
      <w:r>
        <w:rPr>
          <w:b/>
        </w:rPr>
        <w:t>6.1 戶外活動（證據等級：A）</w:t>
      </w:r>
    </w:p>
    <w:p>
      <w:pPr>
        <w:pStyle w:val="Normal"/>
      </w:pPr>
      <w:r>
        <w:t>* 每天至少 2 小時（可累計）。</w:t>
      </w:r>
    </w:p>
    <w:p>
      <w:pPr>
        <w:pStyle w:val="Normal"/>
      </w:pPr>
      <w:r>
        <w:t>* 機制：光照刺激視網膜釋放多巴胺，抑制眼軸增長。</w:t>
      </w:r>
    </w:p>
    <w:p>
      <w:pPr>
        <w:pStyle w:val="Normal"/>
      </w:pPr>
      <w:r>
        <w:t>* 預防發生（減少 46% 發生率）的效果遠高於對已近視者之控制效果。</w:t>
      </w:r>
    </w:p>
    <w:p>
      <w:r>
        <w:t/>
      </w:r>
    </w:p>
    <w:p>
      <w:pPr>
        <w:pStyle w:val="Heading4"/>
      </w:pPr>
      <w:r>
        <w:rPr>
          <w:b/>
        </w:rPr>
        <w:t>6.2 用眼習慣（證據等級：B）</w:t>
      </w:r>
    </w:p>
    <w:p>
      <w:pPr>
        <w:pStyle w:val="Normal"/>
      </w:pPr>
      <w:r>
        <w:t>* </w:t>
        <w:rPr>
          <w:b/>
        </w:rPr>
        <w:t>3010 原則</w:t>
        <w:t>：用眼 30 分鐘休息 10 分鐘。</w:t>
      </w:r>
    </w:p>
    <w:p>
      <w:pPr>
        <w:pStyle w:val="Normal"/>
      </w:pPr>
      <w:r>
        <w:t>* </w:t>
        <w:rPr>
          <w:b/>
        </w:rPr>
        <w:t>閱讀距離</w:t>
        <w:t>：維持 35-40 公分。</w:t>
      </w:r>
    </w:p>
    <w:p>
      <w:r>
        <w:t/>
      </w:r>
    </w:p>
    <w:p>
      <w:pPr>
        <w:pStyle w:val="Heading4"/>
      </w:pPr>
      <w:r>
        <w:rPr>
          <w:b/>
        </w:rPr>
        <w:t>6.3 遠視儲備監測</w:t>
      </w:r>
    </w:p>
    <w:p>
      <w:pPr>
        <w:pStyle w:val="Normal"/>
      </w:pPr>
      <w:r>
        <w:t>* 正視化理論：學齡前應具備適度遠視（6 歲時約 +1.00D 左右）。</w:t>
      </w:r>
    </w:p>
    <w:p>
      <w:pPr>
        <w:pStyle w:val="Normal"/>
      </w:pPr>
      <w:r>
        <w:t>* </w:t>
        <w:rPr>
          <w:b/>
        </w:rPr>
        <w:t>⚠️ 迷思澄清</w:t>
        <w:t>：遠視儲備不是越多越好。過高遠視反而有調節性內斜視風險。應監控「消耗速度」而非單一存量。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7 第四章：近視控制方法</w:t>
      </w:r>
    </w:p>
    <w:p>
      <w:r>
        <w:t/>
      </w:r>
    </w:p>
    <w:p>
      <w:pPr>
        <w:pStyle w:val="Heading4"/>
      </w:pPr>
      <w:r>
        <w:rPr>
          <w:b/>
        </w:rPr>
        <w:t>7.1 4.1 藥物介入：阿托品 (Atropine)</w:t>
      </w:r>
    </w:p>
    <w:p>
      <w:pPr>
        <w:pStyle w:val="Normal"/>
      </w:pPr>
      <w:r>
        <w:t>* </w:t>
        <w:rPr>
          <w:b/>
        </w:rPr>
        <w:t>最佳濃度</w:t>
        <w:t>：0.05% 是國際公認之「黃金標準」，兼顧控制眼軸增長之效能與低副作用。</w:t>
      </w:r>
    </w:p>
    <w:p>
      <w:pPr>
        <w:pStyle w:val="Normal"/>
      </w:pPr>
      <w:r>
        <w:t>* </w:t>
        <w:rPr>
          <w:b/>
        </w:rPr>
        <w:t>反彈效應預防</w:t>
        <w:t>：驟然停藥可能引發代償性眼軸加速增長。臨床建議採取「逐步階梯式減量」停藥。</w:t>
      </w:r>
    </w:p>
    <w:p>
      <w:r>
        <w:t/>
      </w:r>
    </w:p>
    <w:p>
      <w:pPr>
        <w:pStyle w:val="Heading4"/>
      </w:pPr>
      <w:r>
        <w:rPr>
          <w:b/>
        </w:rPr>
        <w:t>7.2 4.2 光學介入與專業技術</w:t>
      </w:r>
    </w:p>
    <w:p>
      <w:pPr>
        <w:pStyle w:val="Normal"/>
      </w:pPr>
      <w:r>
        <w:t/>
        <w:rPr>
          <w:b/>
        </w:rPr>
        <w:t>7.2.1 基礎矯正優先原則（3個月黃金追蹤期）</w:t>
        <w:t/>
      </w:r>
    </w:p>
    <w:p>
      <w:pPr>
        <w:pStyle w:val="Normal"/>
      </w:pPr>
      <w:r>
        <w:t>主張「先行為、後光學」。初次發現近視應先配單焦點鏡片足度矯正，並設定 3 個月追蹤期。若 3 個月後進展仍快，方考慮升級控制方案。</w:t>
      </w:r>
    </w:p>
    <w:p>
      <w:r>
        <w:t/>
      </w:r>
    </w:p>
    <w:p>
      <w:pPr>
        <w:pStyle w:val="Normal"/>
      </w:pPr>
      <w:r>
        <w:t/>
        <w:rPr>
          <w:b/>
        </w:rPr>
        <w:t>7.2.2 堅持專業主覺驗光</w:t>
        <w:t/>
      </w:r>
    </w:p>
    <w:p>
      <w:pPr>
        <w:pStyle w:val="Normal"/>
      </w:pPr>
      <w:r>
        <w:t>精準處方絕非僅靠電腦驗光機單據。必須由專業驗光師執行精密之「主覺驗光」，綜合評估雙眼視機能與視覺品質。</w:t>
      </w:r>
    </w:p>
    <w:p>
      <w:r>
        <w:t/>
      </w:r>
    </w:p>
    <w:p>
      <w:pPr>
        <w:pStyle w:val="Normal"/>
      </w:pPr>
      <w:r>
        <w:t/>
        <w:rPr>
          <w:b/>
        </w:rPr>
        <w:t>7.2.3 角膜塑型 (Ortho-K)</w:t>
        <w:t/>
      </w:r>
    </w:p>
    <w:p>
      <w:pPr>
        <w:pStyle w:val="Normal"/>
      </w:pPr>
      <w:r>
        <w:t>* 效能：約 40-60% 控制效果。</w:t>
      </w:r>
    </w:p>
    <w:p>
      <w:pPr>
        <w:pStyle w:val="Normal"/>
      </w:pPr>
      <w:r>
        <w:t>* </w:t>
        <w:rPr>
          <w:b/>
        </w:rPr>
        <w:t>⚠️ 實務限制</w:t>
        <w:t>：目前法規限制驗光師驗配權限。建議建立「醫視聯合照護機制」。</w:t>
      </w:r>
    </w:p>
    <w:p>
      <w:r>
        <w:t/>
      </w:r>
    </w:p>
    <w:p>
      <w:pPr>
        <w:pStyle w:val="Normal"/>
      </w:pPr>
      <w:r>
        <w:t/>
        <w:rPr>
          <w:b/>
        </w:rPr>
        <w:t>7.2.4 周邊離焦眼鏡 (DIMS/HAL)</w:t>
        <w:t/>
      </w:r>
    </w:p>
    <w:p>
      <w:pPr>
        <w:pStyle w:val="Normal"/>
      </w:pPr>
      <w:r>
        <w:t>* 註記：各品牌仿單規範不同（如散瞳需求），驗光人員應針對特定品牌指示與醫師協作。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8 第五章：學校視力保健執行方案</w:t>
      </w:r>
    </w:p>
    <w:p>
      <w:r>
        <w:t/>
      </w:r>
    </w:p>
    <w:p>
      <w:pPr>
        <w:pStyle w:val="Heading4"/>
      </w:pPr>
      <w:r>
        <w:rPr>
          <w:b/>
        </w:rPr>
        <w:t>8.4 轉介機制之改革建議</w:t>
      </w:r>
    </w:p>
    <w:p>
      <w:pPr>
        <w:pStyle w:val="Normal"/>
      </w:pPr>
      <w:r>
        <w:t/>
        <w:rPr>
          <w:b/>
        </w:rPr>
        <w:t>8.4.1 解決「眼科塞車」困境</w:t>
        <w:t/>
      </w:r>
    </w:p>
    <w:p>
      <w:pPr>
        <w:pStyle w:val="Normal"/>
      </w:pPr>
      <w:r>
        <w:t>推動「眼科診治疾患、驗光管理屈光」之專業分流模式。驗光師專注於提供深度視機能檢查。</w:t>
      </w:r>
    </w:p>
    <w:p>
      <w:r>
        <w:t/>
      </w:r>
    </w:p>
    <w:p>
      <w:pPr>
        <w:pStyle w:val="Normal"/>
      </w:pPr>
      <w:r>
        <w:t/>
        <w:rPr>
          <w:b/>
        </w:rPr>
        <w:t>8.4.5 六歲以下兒童驗光之品質保障</w:t>
        <w:t/>
      </w:r>
    </w:p>
    <w:p>
      <w:pPr>
        <w:pStyle w:val="Normal"/>
      </w:pPr>
      <w:r>
        <w:t>* 政策主張：6 歲以下屈光檢查依法屬醫療行為，應落實由醫師「親自執行」。若量能不足，應研議在醫師指導下銜接合格驗光師分流輔助。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9 第六章：驗光師的角色與社會責任</w:t>
      </w:r>
    </w:p>
    <w:p>
      <w:r>
        <w:t/>
      </w:r>
    </w:p>
    <w:p>
      <w:pPr>
        <w:pStyle w:val="Heading4"/>
      </w:pPr>
      <w:r>
        <w:rPr>
          <w:b/>
        </w:rPr>
        <w:t>9.7 填補社區醫療真空</w:t>
      </w:r>
    </w:p>
    <w:p>
      <w:pPr>
        <w:pStyle w:val="Normal"/>
      </w:pPr>
      <w:r>
        <w:t>根據資源分佈數據，驗光所具備高可近性。驗光師應定位為「社區視力守門員」，填補醫師無暇顧及的衛教空間，如學童用眼指導與高齡者跌倒預防。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10 第七章：給政府決策者之策略建言 (新增)</w:t>
      </w:r>
    </w:p>
    <w:p>
      <w:r>
        <w:t/>
      </w:r>
    </w:p>
    <w:p>
      <w:pPr>
        <w:pStyle w:val="Normal"/>
      </w:pPr>
      <w:r>
        <w:t/>
        <w:rPr>
          <w:b/>
        </w:rPr>
        <w:t>【未來視力保健之三位一體策略】</w:t>
        <w:t/>
      </w:r>
    </w:p>
    <w:p>
      <w:pPr>
        <w:pStyle w:val="Normal"/>
      </w:pPr>
      <w:r>
        <w:t>1. 監測體系化：建立「遠視儲備數位監測系統」，防治點前移至 3 歲。</w:t>
      </w:r>
    </w:p>
    <w:p>
      <w:pPr>
        <w:pStyle w:val="Normal"/>
      </w:pPr>
      <w:r>
        <w:t>2. 資源分流化：確立「眼科診治疾患、驗光管理屈光」之專業分工模式。</w:t>
      </w:r>
    </w:p>
    <w:p>
      <w:pPr>
        <w:pStyle w:val="Normal"/>
      </w:pPr>
      <w:r>
        <w:t>3. 環境政策化：將「下課淨空教室」與「每天戶外 2 小時」納入行政指標。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11 附錄</w:t>
      </w:r>
    </w:p>
    <w:p>
      <w:pPr>
        <w:pStyle w:val="Normal"/>
      </w:pPr>
      <w:r>
        <w:t>* 附錄一：視力篩檢表單</w:t>
      </w:r>
    </w:p>
    <w:p>
      <w:pPr>
        <w:pStyle w:val="Normal"/>
      </w:pPr>
      <w:r>
        <w:t>* 附錄三：家長衛教單張</w:t>
      </w:r>
    </w:p>
    <w:p>
      <w:pPr>
        <w:pStyle w:val="Normal"/>
      </w:pPr>
      <w:r>
        <w:t>* 附錄四：教室環境檢核表</w:t>
      </w:r>
    </w:p>
    <w:p>
      <w:pPr>
        <w:pStyle w:val="Normal"/>
      </w:pPr>
      <w:r>
        <w:t>* 附錄五：相關法規彙整</w:t>
      </w:r>
    </w:p>
    <w:p>
      <w:pPr>
        <w:pStyle w:val="Normal"/>
      </w:pPr>
      <w:r>
        <w:t>* 附錄六：參考文獻</w:t>
      </w:r>
    </w:p>
    <w:p>
      <w:r>
        <w:t/>
      </w:r>
    </w:p>
    <w:p>
      <w:pPr>
        <w:pStyle w:val="Normal"/>
      </w:pPr>
      <w:r>
        <w:t/>
        <w:rPr>
          <w:b/>
        </w:rPr>
        <w:t>本手冊旨在推動以數據為核心、專業分工為骨架的視力保健新局。</w:t>
        <w:t/>
      </w:r>
    </w:p>
  </w:body>
</w:document>
</file>