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szCs w:val="48"/>
        </w:rPr>
        <w:t>送愛到學校-學童視力篩檢與矯正服務之離島跨領域合作模式</w:t>
      </w:r>
    </w:p>
    <w:p>
      <w:pPr>
        <w:pStyle w:val="Heading1"/>
      </w:pPr>
      <w:r>
        <w:t>1. 前言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1"/>
      </w:pPr>
      <w:r>
        <w:t>2.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全國視力惡化趨勢與結構性剖析</w:t>
      </w:r>
    </w:p>
    <w:p>
      <w:r>
        <w:t>教育部 2005-2024 長周期數據顯示，我國學童視力健康呈現結構性惡化。</w:t>
      </w:r>
    </w:p>
    <w:p>
      <w:pPr>
        <w:ind w:left="420" w:hanging="420"/>
      </w:pPr>
      <w:r>
        <w:t>• 112 學年數據：小一 26.69%、小六 62.99%、國三 72.41%、高三 81.61%。</w:t>
      </w:r>
    </w:p>
    <w:p>
      <w:pPr>
        <w:ind w:left="420" w:hanging="420"/>
      </w:pPr>
      <w:r>
        <w:t>• 失速點：國小中年級「調節壓力期」與國一「生理發育期」為惡化高峰。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矯正黃金前提：遠方視力「足度全矯正」</w:t>
      </w:r>
    </w:p>
    <w:p>
      <w:pPr>
        <w:ind w:left="720" w:right="720"/>
        <w:shd w:val="clear" w:color="auto" w:fill="F9F9F9"/>
      </w:pPr>
      <w:r>
        <w:rPr>
          <w:i/>
          <w:color w:val="666666"/>
        </w:rPr>
        <w:t>散瞳劑（阿托品）療效必須建立在「足度全矯正 (Full Correction)」基礎上，以消除誘發眼球增長的模糊影像。</w:t>
      </w:r>
    </w:p>
    <w:p>
      <w:pPr>
        <w:pStyle w:val="Heading3"/>
      </w:pPr>
      <w:r>
        <w:t>2.2.2 藥物介入與 LAMP 研究實證</w:t>
      </w:r>
    </w:p>
    <w:p>
      <w:r>
        <w:t>根據研究，0.05% 阿托品為目前公認的黃金標準，兼顧控制效果與低副作用。</w:t>
      </w:r>
    </w:p>
    <w:p>
      <w:pPr>
        <w:pStyle w:val="Heading3"/>
      </w:pPr>
      <w:r>
        <w:t>2.2.3 階梯式處置原則：基礎矯正優先</w:t>
      </w:r>
    </w:p>
    <w:p>
      <w:r>
        <w:t>採行「行為改善、光學介入、藥物升級」之策略，並建立 3 個月黃金追蹤期。</w:t>
      </w:r>
    </w:p>
    <w:p>
      <w:pPr>
        <w:pStyle w:val="Heading3"/>
      </w:pPr>
      <w:r>
        <w:t>2.2.4 雙眼視機能之監測與管理</w:t>
      </w:r>
    </w:p>
    <w:p>
      <w:r>
        <w:t>長期點藥學童應監測 AC/A ratio 與調節能力，由驗光人員進行雙眼視功能管理，確保視覺品質。</w:t>
      </w:r>
    </w:p>
    <w:p>
      <w:pPr>
        <w:pStyle w:val="Heading1"/>
      </w:pPr>
      <w:r>
        <w:t>2.3 視力保健健康不平等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1"/>
      </w:pPr>
      <w:r>
        <w:t>3. 學童視力篩檢與矯正服務之離島跨領域合作模式</w:t>
      </w:r>
    </w:p>
    <w:p>
      <w:pPr>
        <w:pStyle w:val="Heading2"/>
      </w:pPr>
      <w:r>
        <w:t>3.1 偏鄉兒童視力保健問題 — 張麗春 教授</w:t>
      </w:r>
    </w:p>
    <w:p>
      <w:pPr>
        <w:shd w:val="clear" w:color="auto" w:fill="F2F2F2"/>
      </w:pPr>
      <w:r>
        <w:rPr>
          <w:color w:val="D9534F"/>
          <w:i/>
        </w:rPr>
        <w:t>（請教授補充內容）</w:t>
      </w:r>
    </w:p>
    <w:p>
      <w:pPr>
        <w:pStyle w:val="Heading2"/>
      </w:pPr>
      <w:r>
        <w:t>3.2 跨領域服務模式 — 臺灣視光視力保健學會 執筆</w:t>
      </w:r>
    </w:p>
    <w:p>
      <w:pPr>
        <w:pStyle w:val="Heading3"/>
      </w:pPr>
      <w:r>
        <w:t>3.2.1 資源銜接：幼兒與學童視力之共同照護</w:t>
      </w:r>
    </w:p>
    <w:p>
      <w:r>
        <w:t>本模式核心在於「醫療、教育、專業視光」三方協作：</w:t>
      </w:r>
    </w:p>
    <w:p>
      <w:pPr>
        <w:ind w:left="420" w:hanging="420"/>
      </w:pPr>
      <w:r>
        <w:t>• 6 歲以下幼兒照護：嚴格遵守法規，採取醫療導向共同照護模式，由衛生所醫師評估並建立綠色轉介通道。</w:t>
      </w:r>
    </w:p>
    <w:p>
      <w:pPr>
        <w:ind w:left="420" w:hanging="420"/>
      </w:pPr>
      <w:r>
        <w:t>• 離島資源互補：驗光人員作為第一線提供視覺環境諮詢，並與醫師保持密切溝通，確保離島幼兒不因地理限制延誤介入。</w:t>
      </w:r>
    </w:p>
    <w:p>
      <w:pPr>
        <w:pStyle w:val="Heading3"/>
      </w:pPr>
      <w:r>
        <w:t>3.2.2 115 年落日條款之專業銜接</w:t>
      </w:r>
    </w:p>
    <w:p>
      <w:r>
        <w:t>因應 115 年法規落日，推動「種子計畫」與「遠距共同照護機制」，確保離島屈光資源不致斷絕。</w:t>
      </w:r>
    </w:p>
    <w:p>
      <w:pPr>
        <w:pStyle w:val="Heading2"/>
      </w:pPr>
      <w:r>
        <w:t>3.3 服務成效 — 臺灣視光視力保健學會 執筆</w:t>
      </w:r>
    </w:p>
    <w:p>
      <w:pPr>
        <w:pStyle w:val="Heading3"/>
      </w:pPr>
      <w:r>
        <w:t>3.3.1 專業傳承奇蹟：西莒學童返鄉案例</w:t>
      </w:r>
    </w:p>
    <w:p>
      <w:r>
        <w:t>受大叔團隊啟發考取視光系並取得國考執照返鄉服務，為離島專業自立之終極典範。</w:t>
      </w:r>
    </w:p>
    <w:p>
      <w:pPr>
        <w:pStyle w:val="Heading1"/>
      </w:pPr>
      <w:r>
        <w:t>4. 建議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  <w:p>
      <w:pPr>
        <w:pStyle w:val="Heading1"/>
      </w:pPr>
      <w:r>
        <w:t>5. 結論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  <w:p>
      <w:pPr>
        <w:pStyle w:val="Heading1"/>
      </w:pPr>
      <w:r>
        <w:t>6. 參考文獻</w:t>
      </w:r>
    </w:p>
    <w:p>
      <w:pPr>
        <w:shd w:val="clear" w:color="auto" w:fill="F2F2F2"/>
      </w:pPr>
      <w:r>
        <w:rPr>
          <w:color w:val="D9534F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hint="eastAsia" w:ascii="Times New Roman" w:eastAsia="新細明體"/>
      </w:rPr>
    </w:rPrDefault>
  </w:docDefaults>
  <w:style w:type="paragraph" w:styleId="Heading1">
    <w:name w:val="heading 1"/>
    <w:rPr>
      <w:b/>
      <w:sz w:val="36"/>
      <w:szCs w:val="36"/>
      <w:color w:val="1A4A7C"/>
    </w:rPr>
  </w:style>
  <w:style w:type="paragraph" w:styleId="Heading2">
    <w:name w:val="heading 2"/>
    <w:rPr>
      <w:b/>
      <w:sz w:val="32"/>
      <w:szCs w:val="32"/>
      <w:color w:val="2E6DA4"/>
    </w:rPr>
  </w:style>
  <w:style w:type="paragraph" w:styleId="Heading3">
    <w:name w:val="heading 3"/>
    <w:rPr>
      <w:b/>
      <w:sz w:val="28"/>
      <w:szCs w:val="28"/>
      <w:color w:val="44444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