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送愛到學校-離島跨領域合作模式 國家戰略正式版</w:t>
      </w:r>
    </w:p>
    <w:p>
      <w:pPr>
        <w:jc w:val="center"/>
        <w:spacing w:after="480"/>
      </w:pPr>
      <w:r>
        <w:rPr>
          <w:b/>
          <w:sz w:val="32"/>
          <w:color w:val="1A4A7C"/>
        </w:rPr>
        <w:t>教育部專案報告：十載離島深耕、視覺資本守護戰略</w:t>
      </w:r>
    </w:p>
    <w:p>
      <w:pPr>
        <w:pStyle w:val="Heading1"/>
      </w:pPr>
      <w:r>
        <w:t>1、 前言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（請教授補充內容。建議引導語：本計畫將學童視力定義為國家「視覺資本 (Visual Capital)」。核心訴求：建立以數據為基礎、跨領域協作為核心的校園視力守護體系。）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臺灣學童視力淪陷之二十年因果洞察 (民國 94 年至 113 年)</w:t>
      </w:r>
    </w:p>
    <w:p>
      <w:pPr>
        <w:ind w:left="720" w:hanging="360"/>
        <w:spacing w:after="120"/>
      </w:pPr>
      <w:r>
        <w:rPr>
          <w:b/>
        </w:rPr>
        <w:t>■ </w:t>
      </w:r>
      <w:r>
        <w:t>【數位平權後的副作用】對比民國 94 年（國小不良率 41.14%）與 113 年（國中不良率 71.96%），離島學童不良率已實質追平本島。這證明若無配套的視光公衛介入，數位學習普及化將導致偏鄉學童承受更高的視覺代價。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【國中惡化之『超速路段』】國中三年間以年均 4% 速度穩定惡化，國一不良率接近小六之兩倍。本會強調，國中端是視力守護的最後堡壘，必須引導由「被動追蹤」轉向「主動管理」。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矯正核心學理：『模糊即腦力資源浪費』與足度矯正</w:t>
      </w:r>
    </w:p>
    <w:p>
      <w:pPr>
        <w:spacing w:after="120"/>
        <w:jc w:val="both"/>
      </w:pPr>
      <w:r>
        <w:t>本會強調：未足度矯正導致之模糊影像，會迫使大腦分配額外資源處理視覺錯誤，導致學習效率下降。確保處方像素級精準，是守護數位學習效率之基礎協議。</w:t>
      </w:r>
    </w:p>
    <w:p>
      <w:pPr>
        <w:pStyle w:val="Heading3"/>
      </w:pPr>
      <w:r>
        <w:t>2.2.2 近視管理實證：0.05% 阿托品與光學環保優勢</w:t>
      </w:r>
    </w:p>
    <w:p>
      <w:pPr>
        <w:ind w:left="720" w:hanging="360"/>
        <w:spacing w:after="120"/>
      </w:pPr>
      <w:r>
        <w:rPr>
          <w:b/>
        </w:rPr>
        <w:t>■ </w:t>
      </w:r>
      <w:r>
        <w:t>【0.05% Sweet Spot】根據 LAMP 研究，此濃度在眼軸抑制與適應性間達成最佳平衡。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【光學介入之友善性】周邊離焦與 Ortho-K 對戶外活動之適應力，能完美對接「戶外活動 2 小時」政策。</w:t>
      </w:r>
    </w:p>
    <w:p>
      <w:pPr>
        <w:pStyle w:val="Heading1"/>
      </w:pPr>
      <w:r>
        <w:t>3、 離島跨領域合作模式：連江模式 (The Matsu Model)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FF5F5"/>
      </w:pPr>
      <w:r>
        <w:rPr>
          <w:color w:val="C00000"/>
          <w:i/>
        </w:rPr>
        <w:t>（請教授補充內容。）</w:t>
      </w:r>
    </w:p>
    <w:p>
      <w:pPr>
        <w:pStyle w:val="Heading2"/>
      </w:pPr>
      <w:r>
        <w:t>3.2 跨領域服務模式實踐：十載離島公益深耕與守護閉環</w:t>
      </w:r>
    </w:p>
    <w:p>
      <w:pPr>
        <w:pStyle w:val="Heading3"/>
      </w:pPr>
      <w:r>
        <w:t>3.2.1 國中小公益篩檢與配鏡服務之歷史軌跡</w:t>
      </w:r>
    </w:p>
    <w:p>
      <w:pPr>
        <w:spacing w:after="120"/>
        <w:jc w:val="both"/>
      </w:pPr>
      <w:r>
        <w:t>本學會團隊深耕離島逾十載，核心任務聚焦於國小與國中學童之視覺照護，建立了不可替代之實務模型：</w:t>
      </w:r>
    </w:p>
    <w:p>
      <w:pPr>
        <w:ind w:left="720" w:hanging="360"/>
        <w:spacing w:after="120"/>
      </w:pPr>
      <w:r>
        <w:rPr>
          <w:b/>
        </w:rPr>
        <w:t>■ </w:t>
      </w:r>
      <w:r>
        <w:t>【十年公益數據累積】過去十年，本團隊攜帶精密設備定期深入離島校園，執行大規模公益視力篩檢與免費公益配鏡服務。這不僅是物資支援，更是解決偏鄉學童「有錢也買不到合法處方眼鏡」之正義實踐。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【醫、教、光三方閉環】在偏鄉無眼科醫師常駐期間，驗光人員作為「視覺偵查兵」，針對國中小學童執行精密驗光評估；疑似眼疾個案則精準對接巡迴醫療團隊，建立「偵查、轉銜、矯正」之高效閉環。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【幼兒共同照護配套】針對學齡前幼兒，本會採「醫療引導、視光協助」之法治模式。驗光人員提供專業視覺環境指導，與醫師共同守護學齡前之視覺儲備。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【115 年落日條款對策】面對法規斷崖，推動「離島遠距醫囑共同照護」機制，確保離島孩子不因制度變遷而失去獲得專業屈光照護之權利。</w:t>
      </w:r>
    </w:p>
    <w:p>
      <w:pPr>
        <w:pStyle w:val="Heading2"/>
      </w:pPr>
      <w:r>
        <w:t>3.3 服務成效：翻轉生命之傳承</w:t>
      </w:r>
    </w:p>
    <w:p>
      <w:pPr>
        <w:ind w:left="960" w:right="960"/>
        <w:shd w:val="clear" w:color="auto" w:fill="F8F9FA"/>
        <w:spacing w:before="240" w:after="240"/>
        <w:pBdr>
          <w:left w:val="single" w:sz="24" w:space="4" w:color="2E6DA4"/>
        </w:pBdr>
      </w:pPr>
      <w:r>
        <w:rPr>
          <w:i/>
          <w:color w:val="444444"/>
        </w:rPr>
        <w:t>【成效巔峰】西莒學童由「受助者」成長為「國家級驗光師」返鄉服務。這是本計畫針對國中小學童深耕 12 年之最高回饋，落實了真正意義上的「偏鄉醫療自立」。</w:t>
      </w:r>
    </w:p>
    <w:p>
      <w:pPr>
        <w:pStyle w:val="Heading1"/>
      </w:pPr>
      <w:r>
        <w:t>4、 國家級政策訴求：基於十載校園實務之倡議</w:t>
      </w:r>
    </w:p>
    <w:p>
      <w:pPr>
        <w:spacing w:after="120"/>
        <w:jc w:val="both"/>
      </w:pPr>
      <w:r>
        <w:t>基於本會過去十多年針對國中小學童的大規模服務數據，建請教育部採納以下戰略建議：</w:t>
      </w:r>
    </w:p>
    <w:p>
      <w:pPr>
        <w:ind w:left="720" w:hanging="360"/>
        <w:spacing w:after="120"/>
      </w:pPr>
      <w:r>
        <w:rPr>
          <w:b/>
        </w:rPr>
        <w:t>■ </w:t>
      </w:r>
      <w:r>
        <w:t>【建立學生視力健康護照】倡議將「眼軸長 (Axial Length)」納入國中小健檢常規紀錄。這能讓視力管理由「看結果」轉為「看趨勢」，建立早期預警體系。</w:t>
      </w:r>
    </w:p>
    <w:p>
      <w:pPr>
        <w:ind w:left="720" w:hanging="360"/>
        <w:spacing w:after="120"/>
      </w:pPr>
      <w:r>
        <w:rPr>
          <w:b/>
        </w:rPr>
        <w:t>■ </w:t>
      </w:r>
      <w:r>
        <w:t>【驗光人員制度化入校】正式將具國考證照之驗光人員納入校園視力守護體系。我們不只是外援志工，而是應成為常態性的校園視力管理夥伴。</w:t>
      </w:r>
    </w:p>
    <w:p>
      <w:pPr>
        <w:pStyle w:val="Heading1"/>
      </w:pPr>
      <w:r>
        <w:t>5、 結論與建議</w:t>
      </w:r>
    </w:p>
    <w:p>
      <w:pPr>
        <w:shd w:val="clear" w:color="auto" w:fill="FFF5F5"/>
      </w:pPr>
      <w:r>
        <w:rPr>
          <w:color w:val="C00000"/>
          <w:i/>
        </w:rPr>
        <w:t>（待補充）</w:t>
      </w:r>
    </w:p>
    <w:p>
      <w:pPr>
        <w:pStyle w:val="Heading1"/>
      </w:pPr>
      <w:r>
        <w:t>6、 參考文獻</w:t>
      </w:r>
    </w:p>
    <w:p>
      <w:pPr>
        <w:shd w:val="clear" w:color="auto" w:fill="FFF5F5"/>
      </w:pPr>
      <w:r>
        <w:rPr>
          <w:color w:val="C00000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8"/>
      <w:szCs w:val="38"/>
      <w:color w:val="1A4A7C"/>
    </w:rPr>
    <w:pPr>
      <w:spacing w:before="480" w:after="24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</w:pPr>
  </w:style>
  <w:style w:type="paragraph" w:styleId="Heading3">
    <w:name w:val="heading 3"/>
    <w:rPr>
      <w:b/>
      <w:sz w:val="28"/>
      <w:szCs w:val="28"/>
      <w:color w:val="333333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