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56"/>
          <w:szCs w:val="56"/>
        </w:rPr>
        <w:t>送愛到學校-離島跨領域合作模式 國家戰略正式版</w:t>
      </w:r>
    </w:p>
    <w:p>
      <w:pPr>
        <w:jc w:val="center"/>
        <w:spacing w:after="480"/>
      </w:pPr>
      <w:r>
        <w:rPr>
          <w:b/>
          <w:sz w:val="32"/>
          <w:color w:val="1A4A7C"/>
        </w:rPr>
        <w:t>教育部專案報告：落實校園基礎驗光與離島共同照護戰略</w:t>
      </w:r>
    </w:p>
    <w:p>
      <w:pPr>
        <w:pStyle w:val="Heading1"/>
      </w:pPr>
      <w:r>
        <w:t>1、 前言 — 張麗春 教授</w:t>
      </w:r>
    </w:p>
    <w:p>
      <w:pPr>
        <w:shd w:val="clear" w:color="auto" w:fill="FFF5F5"/>
      </w:pPr>
      <w:r>
        <w:rPr>
          <w:color w:val="C00000"/>
          <w:i/>
        </w:rPr>
        <w:t>（請教授補充內容。核心戰略訴求：將學童視力定義為國家「視覺資本」，建立以專業驗光為基礎之校園體系。）</w:t>
      </w:r>
    </w:p>
    <w:p>
      <w:pPr>
        <w:pStyle w:val="Heading1"/>
      </w:pPr>
      <w:r>
        <w:t>2、 文獻查證</w:t>
      </w:r>
    </w:p>
    <w:p>
      <w:pPr>
        <w:pStyle w:val="Heading2"/>
      </w:pPr>
      <w:r>
        <w:t>2.1 學童視力保健現況 — 臺灣視光視力保健學會 執筆</w:t>
      </w:r>
    </w:p>
    <w:p>
      <w:pPr>
        <w:pStyle w:val="Heading3"/>
      </w:pPr>
      <w:r>
        <w:t>2.1.1 跨越二十載之國民視力斷層剖析 (94學年 vs 113學年)</w:t>
      </w:r>
    </w:p>
    <w:p>
      <w:pPr>
        <w:spacing w:after="120"/>
        <w:jc w:val="both"/>
      </w:pPr>
      <w:r>
        <w:t>本會對比教育部 20 年監測數據顯示，我國學童視力健康呈結構性潰散。</w:t>
      </w:r>
    </w:p>
    <w:p>
      <w:pPr>
        <w:ind w:left="720" w:hanging="360"/>
        <w:spacing w:after="120"/>
      </w:pPr>
      <w:r>
        <w:rPr>
          <w:b/>
        </w:rPr>
        <w:t>■ </w:t>
      </w:r>
      <w:r>
        <w:t>數據基線 (94學年)：全國國小不良率 41.14%。台北市 (49.78%) 與離島連江縣 (31.83%) 存在 18% 資源紅利。</w:t>
      </w:r>
    </w:p>
    <w:p>
      <w:pPr>
        <w:ind w:left="720" w:hanging="360"/>
        <w:spacing w:after="120"/>
      </w:pPr>
      <w:r>
        <w:rPr>
          <w:b/>
        </w:rPr>
        <w:t>■ </w:t>
      </w:r>
      <w:r>
        <w:t>全面淪陷 (113學年)：國中端總體不良率飆升至 71.96%。連江縣國中端已攀升至 71.21%，地理紅利完全喪失。主因在於數位學習普及化（生生用平板）若無配套之專業視光介入，偏鄉學童承受之視覺負擔將更快達到臨界點。</w:t>
      </w:r>
    </w:p>
    <w:p>
      <w:pPr>
        <w:ind w:left="720" w:hanging="360"/>
        <w:spacing w:after="120"/>
      </w:pPr>
      <w:r>
        <w:rPr>
          <w:b/>
        </w:rPr>
        <w:t>■ </w:t>
      </w:r>
      <w:r>
        <w:t>國中三年惡化斷層：七年級 (68.12%) → 八年級 (72.66%) → 九年級 (75.95%)。每年以 4% 速率穩定惡化。</w:t>
      </w:r>
    </w:p>
    <w:p>
      <w:pPr>
        <w:ind w:left="720" w:hanging="360"/>
        <w:spacing w:after="120"/>
      </w:pPr>
      <w:r>
        <w:rPr>
          <w:b/>
        </w:rPr>
        <w:t>■ </w:t>
      </w:r>
      <w:r>
        <w:t>體制與性別：私立國中不良率高達 76.03%（視力稅）；女生 (74.31%) 高於男生 (69.78%)。</w:t>
      </w:r>
    </w:p>
    <w:p>
      <w:pPr>
        <w:pStyle w:val="Heading2"/>
      </w:pPr>
      <w:r>
        <w:t>2.2 學童視力治療與矯正 — 臺灣視光視力保健學會 執筆</w:t>
      </w:r>
    </w:p>
    <w:p>
      <w:pPr>
        <w:pStyle w:val="Heading3"/>
      </w:pPr>
      <w:r>
        <w:t>2.2.1 矯正核心學理：『模糊即腦力資源浪費』與足度矯正</w:t>
      </w:r>
    </w:p>
    <w:p>
      <w:pPr>
        <w:spacing w:after="120"/>
        <w:jc w:val="both"/>
      </w:pPr>
      <w:r>
        <w:t>健康的視力是數位學習的基礎設施。本會嚴正強調：未足度矯正 (Under-correction) 導致之模糊影像，不僅誘發眼軸增長，更會迫使大腦分配額外資源處理視覺錯誤，直接侵蝕學童之學習專注力。</w:t>
      </w:r>
    </w:p>
    <w:p>
      <w:pPr>
        <w:ind w:left="960" w:right="960"/>
        <w:shd w:val="clear" w:color="auto" w:fill="F8F9FA"/>
        <w:spacing w:before="240" w:after="240"/>
        <w:pBdr>
          <w:left w:val="single" w:sz="24" w:space="4" w:color="2E6DA4"/>
        </w:pBdr>
      </w:pPr>
      <w:r>
        <w:rPr>
          <w:i/>
          <w:color w:val="444444"/>
        </w:rPr>
        <w:t>生理邏輯：未足度矯正誘導之「視網膜後離焦」訊號會刺激脈絡膜變薄並誘導鞏膜重塑，造成眼軸代償性增長。確保處方之像素級精準，就是守護學童的數位學習效率。</w:t>
      </w:r>
    </w:p>
    <w:p>
      <w:pPr>
        <w:pStyle w:val="Heading3"/>
      </w:pPr>
      <w:r>
        <w:t>2.2.2 藥物介入：低濃度阿托品與 LAMP 研究深度應用</w:t>
      </w:r>
    </w:p>
    <w:p>
      <w:pPr>
        <w:spacing w:after="120"/>
        <w:jc w:val="both"/>
      </w:pPr>
      <w:r>
        <w:t>根據 LAMP 研究 (2019-2022)，0.05% 阿托品在控制眼軸增長 (~0.25mm/年) 上效果最顯著，且副作用多數可耐受，為目前國際公認之「Sweet Spot」。</w:t>
      </w:r>
    </w:p>
    <w:p>
      <w:pPr>
        <w:ind w:left="720" w:hanging="360"/>
        <w:spacing w:after="120"/>
      </w:pPr>
      <w:r>
        <w:rPr>
          <w:b/>
        </w:rPr>
        <w:t>■ </w:t>
      </w:r>
      <w:r>
        <w:t>藥物反彈預防：停藥必須採取「階梯式減量」SOP，嚴禁突然斷藥。</w:t>
      </w:r>
    </w:p>
    <w:p>
      <w:pPr>
        <w:ind w:left="720" w:hanging="360"/>
        <w:spacing w:after="120"/>
      </w:pPr>
      <w:r>
        <w:rPr>
          <w:b/>
        </w:rPr>
        <w:t>■ </w:t>
      </w:r>
      <w:r>
        <w:t>專業監測指標：需嚴格監控 AC/A Ratio、調節幅度與融像範圍，防止近視控制了但學習效率卻崩潰。</w:t>
      </w:r>
    </w:p>
    <w:p>
      <w:pPr>
        <w:pStyle w:val="Heading3"/>
      </w:pPr>
      <w:r>
        <w:t>2.2.3 光學介入與階梯式處置原則</w:t>
      </w:r>
    </w:p>
    <w:p>
      <w:pPr>
        <w:ind w:left="720" w:hanging="360"/>
        <w:spacing w:after="120"/>
      </w:pPr>
      <w:r>
        <w:rPr>
          <w:b/>
        </w:rPr>
        <w:t>■ </w:t>
      </w:r>
      <w:r>
        <w:t>基礎矯正期：設定 3 個月黃金觀察期。度數增加 &lt;25 度則維持單焦點方案，拒絕過度醫療。</w:t>
      </w:r>
    </w:p>
    <w:p>
      <w:pPr>
        <w:ind w:left="720" w:hanging="360"/>
        <w:spacing w:after="120"/>
      </w:pPr>
      <w:r>
        <w:rPr>
          <w:b/>
        </w:rPr>
        <w:t>■ </w:t>
      </w:r>
      <w:r>
        <w:t>光學升級：角膜塑型 (Ortho-K) 抑制眼軸約 40-60%，每年應執行寒暑假 2-4 週 Washout。周邊離焦鏡片 (DIMS/HAL) 則適合參與戶外活動之學童，有效銜接「戶外 2 小時」政策。</w:t>
      </w:r>
    </w:p>
    <w:p>
      <w:pPr>
        <w:pStyle w:val="Heading1"/>
      </w:pPr>
      <w:r>
        <w:t>3、 離島跨領域合作模式：連江模式 (The Matsu Model)</w:t>
      </w:r>
    </w:p>
    <w:p>
      <w:pPr>
        <w:pStyle w:val="Heading2"/>
      </w:pPr>
      <w:r>
        <w:t>3.1 偏鄉兒童視力保健問題 — 張麗春 教授</w:t>
      </w:r>
    </w:p>
    <w:p>
      <w:pPr>
        <w:shd w:val="clear" w:color="auto" w:fill="FFF5F5"/>
      </w:pPr>
      <w:r>
        <w:rPr>
          <w:color w:val="C00000"/>
          <w:i/>
        </w:rPr>
        <w:t>（請教授補充。）</w:t>
      </w:r>
    </w:p>
    <w:p>
      <w:pPr>
        <w:pStyle w:val="Heading2"/>
      </w:pPr>
      <w:r>
        <w:t>3.2 跨領域服務模式實踐：解決「基礎驗光不足」之十載深耕</w:t>
      </w:r>
    </w:p>
    <w:p>
      <w:pPr>
        <w:pStyle w:val="Heading3"/>
      </w:pPr>
      <w:r>
        <w:t>3.2.1 國中小公益篩檢與專業配鏡之歷史軌跡</w:t>
      </w:r>
    </w:p>
    <w:p>
      <w:pPr>
        <w:spacing w:after="120"/>
        <w:jc w:val="both"/>
      </w:pPr>
      <w:r>
        <w:t>本學會團隊深耕離島逾十載，核心任務聚焦於國小與國中學童，確立了「基礎驗光優先」之標竿 SOP：</w:t>
      </w:r>
    </w:p>
    <w:p>
      <w:pPr>
        <w:ind w:left="720" w:hanging="360"/>
        <w:spacing w:after="120"/>
      </w:pPr>
      <w:r>
        <w:rPr>
          <w:b/>
        </w:rPr>
        <w:t>■ </w:t>
      </w:r>
      <w:r>
        <w:t>【填補基礎驗光真空】離島與偏鄉之核心困境在於「專業驗光資源之極度匱乏」。本團隊定期深入校園提供精密「主覺驗光 (Subjective Refraction)」，確保處方之精準度。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【三方守護閉環】驗光人員作為「視力偵查兵」，與衛生所醫師建立綠色轉介通道。針對 6 歲以下幼兒，採行「醫療引導、視光輔助」之法治模式。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【115 年落日條款應對】115 年後離島將進入『驗光合法化真空期』。本會推動「種子人才計畫」與「遠距共同醫囑」，確保學童不失去獲得精準驗光之權利。</w:t>
      </w:r>
    </w:p>
    <w:p>
      <w:pPr>
        <w:pStyle w:val="Heading3"/>
      </w:pPr>
      <w:r>
        <w:t>3.3 服務成效：翻轉生命之傳承</w:t>
      </w:r>
    </w:p>
    <w:p>
      <w:pPr>
        <w:ind w:left="960" w:right="960"/>
        <w:shd w:val="clear" w:color="auto" w:fill="F8F9FA"/>
        <w:spacing w:before="240" w:after="240"/>
        <w:pBdr>
          <w:left w:val="single" w:sz="24" w:space="4" w:color="2E6DA4"/>
        </w:pBdr>
      </w:pPr>
      <w:r>
        <w:rPr>
          <w:i/>
          <w:color w:val="444444"/>
        </w:rPr>
        <w:t>【成效巔峰】西莒學童受大叔團隊深耕 12 年之感召，考取視光系並取得國家驗光師執照返鄉服務。這不只是感人案例，更是實現「偏鄉醫療自立」的終極模型。</w:t>
      </w:r>
    </w:p>
    <w:p>
      <w:pPr>
        <w:pStyle w:val="Heading1"/>
      </w:pPr>
      <w:r>
        <w:t>4、 國家級政策訴求：提升校園基礎專業規格</w:t>
      </w:r>
    </w:p>
    <w:p>
      <w:pPr>
        <w:ind w:left="720" w:hanging="360"/>
        <w:spacing w:after="120"/>
      </w:pPr>
      <w:r>
        <w:rPr>
          <w:b/>
        </w:rPr>
        <w:t>■ </w:t>
      </w:r>
      <w:r>
        <w:t>【提升複查標準】建請將「精密主覺驗光」納入視力篩檢異常後之複查標準，取代簡單電腦驗光，解決基礎品質不足之痛點。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【驗光人員制度化入校】正式將具國考證照之專業人員納入校園視力守護體系。</w:t>
      </w:r>
    </w:p>
    <w:p>
      <w:pPr>
        <w:pStyle w:val="Heading1"/>
      </w:pPr>
      <w:r>
        <w:t>5、 結論與建議</w:t>
      </w:r>
    </w:p>
    <w:p>
      <w:pPr>
        <w:shd w:val="clear" w:color="auto" w:fill="FFF5F5"/>
      </w:pPr>
      <w:r>
        <w:rPr>
          <w:color w:val="C00000"/>
          <w:i/>
        </w:rPr>
        <w:t>（待補充。）</w:t>
      </w:r>
    </w:p>
    <w:p>
      <w:pPr>
        <w:pStyle w:val="Heading1"/>
      </w:pPr>
      <w:r>
        <w:t>6、 參考文獻</w:t>
      </w:r>
    </w:p>
    <w:p>
      <w:pPr>
        <w:shd w:val="clear" w:color="auto" w:fill="FFF5F5"/>
      </w:pPr>
      <w:r>
        <w:rPr>
          <w:color w:val="C00000"/>
          <w:i/>
        </w:rPr>
        <w:t>（待補充。）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新細明體" w:hAnsi="Times New Roman"/>
        <w:sz w:val="24"/>
        <w:szCs w:val="24"/>
      </w:rPr>
    </w:rPrDefault>
  </w:docDefaults>
  <w:style w:type="paragraph" w:styleId="Heading1">
    <w:name w:val="heading 1"/>
    <w:rPr>
      <w:b/>
      <w:sz w:val="38"/>
      <w:szCs w:val="38"/>
      <w:color w:val="1A4A7C"/>
    </w:rPr>
    <w:pPr>
      <w:spacing w:before="480" w:after="240"/>
    </w:pPr>
  </w:style>
  <w:style w:type="paragraph" w:styleId="Heading2">
    <w:name w:val="heading 2"/>
    <w:rPr>
      <w:b/>
      <w:sz w:val="32"/>
      <w:szCs w:val="32"/>
      <w:color w:val="2E6DA4"/>
    </w:rPr>
    <w:pPr>
      <w:spacing w:before="360" w:after="180"/>
    </w:pPr>
  </w:style>
  <w:style w:type="paragraph" w:styleId="Heading3">
    <w:name w:val="heading 3"/>
    <w:rPr>
      <w:b/>
      <w:sz w:val="28"/>
      <w:szCs w:val="28"/>
      <w:color w:val="333333"/>
    </w:rPr>
    <w:pPr>
      <w:spacing w:before="240" w:after="120"/>
    </w:pPr>
  </w:style>
</w:styles>
</file>

<file path=word/_rels/document.xml.rels><?xml version="1.0" encoding="UTF-8" standalone="yes"?><Relationships xmlns="http://schemas.openxmlformats.org/package/2006/relationships"><Relationship Id="rStyle" Type="http://schemas.openxmlformats.org/officeDocument/2006/relationships/styles" Target="styles.xml"/></Relationships>
</file>