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48"/>
          <w:szCs w:val="48"/>
        </w:rPr>
        <w:t>送愛到學校-離島跨領域合作模式 專案報告</w:t>
      </w:r>
    </w:p>
    <w:p>
      <w:pPr>
        <w:pStyle w:val="Heading1"/>
        <w:spacing w:before="360" w:after="180"/>
      </w:pPr>
      <w:r>
        <w:t>2.1 學童視力保健現況 — 臺灣視光視力保健學會 執筆</w:t>
      </w:r>
    </w:p>
    <w:p>
      <w:pPr>
        <w:pStyle w:val="Heading2"/>
        <w:spacing w:before="240" w:after="120"/>
      </w:pPr>
      <w:r>
        <w:t>2.1.1 跨越 20 年的數據觀察：從 94 學年到 113 學年</w:t>
      </w:r>
    </w:p>
    <w:p>
      <w:r>
        <w:t>本會透過教育部歷年視力監測數據進行深度對比分析，揭示我國學童視力健康面臨之歷史性轉折。於民國 94 學年度，國小總體不良率為 41.14%，當時台北市 (49.78%) 與離島連江縣 (31.83%) 仍存在顯著之資源差距紅利。</w:t>
      </w:r>
    </w:p>
    <w:p>
      <w:r>
        <w:t>至民國 113 學年度，數據揭示了令人憂心的現況：國中生總體視力不良率已高達 71.96%，且呈穩定的年級遞增趨勢：七年級 (68.12%) → 八年級 (72.66%) → 九年級 (75.95%)。年級間約 4% 的增長率反映出國中階段為視力惡化之「失速路段」。</w:t>
      </w:r>
    </w:p>
    <w:p>
      <w:r>
        <w:t>值得注意的是，連江縣國中端不良率已攀升至 71.21%，與全國總計 71.96% 幾乎同步，證明隨數位學習普及與升學壓力本島化，離島之地理優勢已完全喪失。</w:t>
      </w:r>
    </w:p>
    <w:p>
      <w:pPr>
        <w:pStyle w:val="Heading1"/>
        <w:spacing w:before="360" w:after="180"/>
      </w:pPr>
      <w:r>
        <w:t>2.2 學童視力治療與矯正 — 臺灣視光視力保健學會 執筆</w:t>
      </w:r>
    </w:p>
    <w:p>
      <w:pPr>
        <w:pStyle w:val="Heading2"/>
        <w:spacing w:before="240" w:after="120"/>
      </w:pPr>
      <w:r>
        <w:t>2.2.1 矯正核心原則：遠方視力「足度全矯正」</w:t>
      </w:r>
    </w:p>
    <w:p>
      <w:r>
        <w:t>散瞳劑（阿托品）之療效必須建立在「遠方視力足度全矯正 (Full Correction)」的基礎上。科學實證指出，未足度矯正導致之模糊影像（Blur）會誘發化學訊號刺激眼球眼軸增長，直接抵消藥物抑制效果。凡近視者，點藥前必須確保光學矯正之精準度。</w:t>
      </w:r>
    </w:p>
    <w:p>
      <w:pPr>
        <w:pStyle w:val="Heading2"/>
        <w:spacing w:before="240" w:after="120"/>
      </w:pPr>
      <w:r>
        <w:t>2.2.2 藥物介入：0.05% 阿托品之「黃金平衡點」</w:t>
      </w:r>
    </w:p>
    <w:p>
      <w:r>
        <w:t>根據 LAMP 研究，低濃度阿托品在亞洲學童中表現顯著。0.05% 濃度在控制眼軸增長上效果優異（抑制率 ~0.25mm/年），且畏光與調節力下降之副作用多數學童可適應，為目前國際公認之首選起始濃度。</w:t>
      </w:r>
    </w:p>
    <w:p>
      <w:pPr>
        <w:pStyle w:val="Heading2"/>
        <w:spacing w:before="240" w:after="120"/>
      </w:pPr>
      <w:r>
        <w:t>2.2.3 階梯式處置與良心醫療 SOP</w:t>
      </w:r>
    </w:p>
    <w:p>
      <w:pPr>
        <w:ind w:left="420" w:hanging="420"/>
      </w:pPr>
      <w:r>
        <w:t>• 第一階：單焦點鏡片 (SVL) 與 3 個月黃金追蹤期。拒絕一見面就推銷高價方案。</w:t>
      </w:r>
    </w:p>
    <w:p>
      <w:pPr>
        <w:ind w:left="420" w:hanging="420"/>
      </w:pPr>
      <w:r>
        <w:t>• 第二階：若追蹤期內度數增加 &gt; 50 度，應升級至角膜塑型 (Ortho-K) 或周邊離焦眼鏡 (DIMS/HAL)。</w:t>
      </w:r>
    </w:p>
    <w:p>
      <w:r>
        <w:t>角膜塑型片使用者每年應安排寒暑假 2-4 週之 Washout (停戴期)，確保獲取真實屈光度數與角膜圖。</w:t>
      </w:r>
    </w:p>
    <w:p>
      <w:pPr>
        <w:pStyle w:val="Heading2"/>
        <w:spacing w:before="240" w:after="120"/>
      </w:pPr>
      <w:r>
        <w:t>2.2.4 雙眼視機能監測警語</w:t>
      </w:r>
    </w:p>
    <w:p>
      <w:r>
        <w:t>長期使用散瞳劑可能抑制調節與瞳孔收縮，進而影響 AC/A ratio 與看近時的融像能力。臨床上必須定期監測調節幅度、調節靈活度與融像範圍，由專業驗光人員進行雙眼視功能管理，避免閱讀障礙。</w:t>
      </w:r>
    </w:p>
    <w:p>
      <w:pPr>
        <w:pStyle w:val="Heading1"/>
        <w:spacing w:before="360" w:after="180"/>
      </w:pPr>
      <w:r>
        <w:t>3.2 跨領域服務模式 — 離島共同照護模型</w:t>
      </w:r>
    </w:p>
    <w:p>
      <w:r>
        <w:t>本模式核心在於建立『醫、教、光』三方協作。驗光人員作為第一線偵查兵，負責執行精密驗光與初步評估；對於 6 歲以下幼兒照護，本會採取醫療導向共同照護模式，由衛生所醫師進行病理評估，並建立綠色轉介通道，確保資源互補。</w:t>
      </w:r>
    </w:p>
    <w:p>
      <w:r>
        <w:t>因應 115 年法規落日條款，本計畫推動「種子計畫」與「遠距醫囑指導機制」，確保法規更迭後，離島學童仍能獲得具備國考證照的專業服務。</w:t>
      </w:r>
    </w:p>
    <w:p>
      <w:pPr>
        <w:pStyle w:val="Heading1"/>
        <w:spacing w:before="360" w:after="180"/>
      </w:pPr>
      <w:r>
        <w:t>3.3 服務成效：西莒傳承案例</w:t>
      </w:r>
    </w:p>
    <w:p>
      <w:r>
        <w:t>一位居住於西莒之學童受大叔團隊啟發考取視光系，並於去年正式考取「國家驗光師執照」。這是離島服務最好的見證：讓昔日的「受助者」成長為今日的「守護者」，實現真正意義上的偏鄉醫療自立。</w:t>
      </w:r>
    </w:p>
  </w:body>
</w:document>
</file>

<file path=word/styles.xml><?xml version="1.0" encoding="utf-8"?>
<w:styles xmlns:w="http://schemas.openxmlformats.org/wordprocessingml/2006/main">
  <w:docDefaults>
    <w:rPrDefault>
      <w:rPr>
        <w:rFonts w:hint="eastAsia" w:ascii="Times New Roman" w:eastAsia="新細明體"/>
      </w:rPr>
    </w:rPrDefault>
  </w:docDefaults>
  <w:style w:type="paragraph" w:styleId="Heading1">
    <w:name w:val="heading 1"/>
    <w:rPr>
      <w:b/>
      <w:sz w:val="36"/>
      <w:szCs w:val="36"/>
      <w:color w:val="1A4A7C"/>
    </w:rPr>
  </w:style>
  <w:style w:type="paragraph" w:styleId="Heading2">
    <w:name w:val="heading 2"/>
    <w:rPr>
      <w:b/>
      <w:sz w:val="32"/>
      <w:szCs w:val="32"/>
      <w:color w:val="2E6DA4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/Relationships>
</file>