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rPr>
          <w:b/>
        </w:rPr>
        <w:t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81.61% (111學年)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81.61% (111學年)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11.9% (Sydney Myopia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36-42% (CooperVision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rPr/>
        <w:t>民國 88 年（1999 年），正式納入學生視力保健政策中，台灣開始大規模推動以散瞳劑（阿托品）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65.0% → 62.99%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⚠️ 僅改善 2.01%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54.8% → 62.99%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❌ 仍惡化 8.19%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rPr/>
        <w:t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-6D 約 41 倍, -8D 約 127 倍 (Ogawa &amp; Tanaka 1988)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2-3 倍 / 7.3 倍 (高度近視, Wang et al.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/>
          <w:color w:val="C00000"/>
        </w:rPr>
        <w:t>
⚠️ 關鍵議題：仿單限制造成的醫療資源錯置
目前部分周邊離焦鏡片廠商在產品仿單中載明「應先散瞳驗光」，此規範雖立意良善，但在實務上造成了顯著的制度性問題。
【實務困境分析】
1. 醫療資源無效堆疊：迫使單純配鏡需求的學童湧入已飽和的眼科門診，僅為取得散瞳程序，造成健保資源與眼科醫師時間的雙重浪費。
2. 家長負擔增加：家長需在「眼科診所（散瞳）」與「驗光所（配鏡）」間奔波，繁瑣流程反而降低家長為孩子選擇控制鏡片的意願。
3. 專業權責失衡：驗光師具備國考認證之屈光檢查能力，卻因非侵入性鏡片的仿單限制，無法獨立執行完整驗配服務。
【學理與現實的矛盾】
- 標準不一：同樣是矯正近視，為何單焦點眼鏡不需強制散瞳，而周邊離焦眼鏡（僅光學設計不同，非藥物）卻需要？
- 必要性存疑：透過霧視法（Fogging）與雙眼視機能檢查，專業驗光師已有能力排除假性進視干擾，強制散瞳並非唯一途徑。
【驗光師的專業主張】
1. 尊重法規，但呼籲改革：在現行仿單未修改前，我們會依規範建議家長先至眼科散瞳。但我們嚴正呼籲主管機關與廠商應重新檢視此限制的必要性。
2. 回歸專業分工：將單純屈光不正的配鏡回歸驗光師，讓醫師專注於眼疾治療，解決眼科塞車。
3. 修訂建議：建議未來仿單應修正為「經眼科醫師或驗光師專業評估後驗配」，而非僵硬規定特定醫療處置。
實務建議：若品牌仿單載明需散瞳，請先完成散瞳程序。但請家長理解，這是一個待改革的制度性流程，並非驗光師能力不足。
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/>
          <w:color w:val="FF0000"/>
        </w:rPr>
        <w:t>大錯特錯。國際標準是「足度全矯正」。1. 欠矯正加速惡化。2. 散瞳劑放鬆睫狀肌後更須足度矯正，看遠模糊導致控制失敗。3. 結論：兩者必須完美搭配。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