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szCs w:val="48"/>
        </w:rPr>
        <w:t>送愛到學校-學童視力篩檢與矯正服務之離島跨領域合作模式</w:t>
      </w:r>
    </w:p>
    <w:p>
      <w:pPr>
        <w:pStyle w:val="Heading1"/>
      </w:pPr>
      <w:r>
        <w:t>1. 前言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1"/>
      </w:pPr>
      <w:r>
        <w:t>2. 文獻查證</w:t>
      </w:r>
    </w:p>
    <w:p>
      <w:pPr>
        <w:pStyle w:val="Heading2"/>
      </w:pPr>
      <w:r>
        <w:t>2.1 學童視力保健現況 — 臺灣視光視力保健學會 執筆</w:t>
      </w:r>
    </w:p>
    <w:p>
      <w:pPr>
        <w:pStyle w:val="Heading3"/>
      </w:pPr>
      <w:r>
        <w:t>2.1.1 跨越 20 年的數據觀察：從 94 學年到 113 學年</w:t>
      </w:r>
    </w:p>
    <w:p>
      <w:r>
        <w:t>透過教育部歷年數據對照，我們發現台灣學童的視力健康呈現明顯的「斷崖式」惡化。</w:t>
      </w:r>
    </w:p>
    <w:p>
      <w:pPr>
        <w:ind w:left="420" w:hanging="420"/>
      </w:pPr>
      <w:r>
        <w:t>• 歷史基線 (94學年/2005年)：全國國小視力不良率為 41.14%。台北市高達 49.78%，而當時連江縣僅為 31.83%。</w:t>
      </w:r>
    </w:p>
    <w:p>
      <w:pPr>
        <w:ind w:left="420" w:hanging="420"/>
      </w:pPr>
      <w:r>
        <w:t>• 現代危機 (113學年/2024年)：國中端總體視力不良率已攀升至 71.96%。</w:t>
      </w:r>
    </w:p>
    <w:p>
      <w:pPr>
        <w:ind w:left="420" w:hanging="420"/>
      </w:pPr>
      <w:r>
        <w:t>• 年級惡化曲線：七年級(68.12%) → 八年級(72.66%) → 九年級(75.95%)。每年以約 4% 速度穩定攀升。</w:t>
      </w:r>
    </w:p>
    <w:p>
      <w:pPr>
        <w:ind w:left="420" w:hanging="420"/>
      </w:pPr>
      <w:r>
        <w:t>• 體制影響：私立國中不良率高達 76.03%，反映高度競爭環境對視力的負面衝擊。</w:t>
      </w:r>
    </w:p>
    <w:p>
      <w:pPr>
        <w:ind w:left="420" w:hanging="420"/>
      </w:pPr>
      <w:r>
        <w:t>• 性別差異：女生(74.31%)高於男生(69.78%)，顯示生理與生活型態對視力的複雜影響。</w:t>
      </w:r>
    </w:p>
    <w:p>
      <w:r>
        <w:t>數據背後的意涵顯示，連江縣的地理優勢已消失（國中端 71.21%），在資源真空的狀態下，專業介入已具備極度急迫性。</w:t>
      </w:r>
    </w:p>
    <w:p>
      <w:pPr>
        <w:pStyle w:val="Heading2"/>
      </w:pPr>
      <w:r>
        <w:t>2.2 學童視力治療與矯正 — 臺灣視光視力保健學會 執筆</w:t>
      </w:r>
    </w:p>
    <w:p>
      <w:pPr>
        <w:pStyle w:val="Heading3"/>
      </w:pPr>
      <w:r>
        <w:t>2.2.1 矯正黃金前提：遠方視力「足度全矯正」</w:t>
      </w:r>
    </w:p>
    <w:p>
      <w:pPr>
        <w:ind w:left="720" w:right="720"/>
        <w:shd w:val="clear" w:color="auto" w:fill="F9F9F9"/>
      </w:pPr>
      <w:r>
        <w:rPr>
          <w:i/>
          <w:color w:val="666666"/>
        </w:rPr>
        <w:t>散瞳劑（阿托品）療效必須建立在「足度全矯正」基礎上，以消除誘發眼軸增長的模糊影像。</w:t>
      </w:r>
    </w:p>
    <w:p>
      <w:pPr>
        <w:pStyle w:val="Heading3"/>
      </w:pPr>
      <w:r>
        <w:t>2.2.2 藥物介入：0.05% 阿托品黃金標準</w:t>
      </w:r>
    </w:p>
    <w:p>
      <w:r>
        <w:t>LAMP 研究指出 0.05% 為效果與副作用的最佳平衡點。停藥需採階梯式減量。</w:t>
      </w:r>
    </w:p>
    <w:p>
      <w:pPr>
        <w:pStyle w:val="Heading3"/>
      </w:pPr>
      <w:r>
        <w:t>2.2.3 階梯式處置原則：基礎矯正優先</w:t>
      </w:r>
    </w:p>
    <w:p>
      <w:r>
        <w:t>建立 3 個月黃金追蹤期。若進展快速，升級至 Ortho-K 或 DIMS/HAL 等光學控制方案。</w:t>
      </w:r>
    </w:p>
    <w:p>
      <w:pPr>
        <w:pStyle w:val="Heading3"/>
      </w:pPr>
      <w:r>
        <w:t>2.2.4 雙眼視機能監測警語</w:t>
      </w:r>
    </w:p>
    <w:p>
      <w:r>
        <w:t>長期點藥學童應監測 AC/A ratio 與調節能力，確保視覺品質。</w:t>
      </w:r>
    </w:p>
    <w:p>
      <w:pPr>
        <w:pStyle w:val="Heading1"/>
      </w:pPr>
      <w:r>
        <w:t>2.3 視力保健健康不平等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1"/>
      </w:pPr>
      <w:r>
        <w:t>3. 學童視力篩檢與矯正服務之離島跨領域合作模式</w:t>
      </w:r>
    </w:p>
    <w:p>
      <w:pPr>
        <w:pStyle w:val="Heading2"/>
      </w:pPr>
      <w:r>
        <w:t>3.1 偏鄉兒童視力保健問題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2"/>
      </w:pPr>
      <w:r>
        <w:t>3.2 跨領域服務模式 — 臺灣視光視力保健學會 執筆</w:t>
      </w:r>
    </w:p>
    <w:p>
      <w:pPr>
        <w:pStyle w:val="Heading3"/>
      </w:pPr>
      <w:r>
        <w:t>3.2.1 幼兒與學童視力之共同照護</w:t>
      </w:r>
    </w:p>
    <w:p>
      <w:r>
        <w:t>建立「醫、教、光」三方協作：驗光人員作為第一線提供視覺環境諮詢，並與醫師建立綠色轉介通道。</w:t>
      </w:r>
    </w:p>
    <w:p>
      <w:pPr>
        <w:pStyle w:val="Heading2"/>
      </w:pPr>
      <w:r>
        <w:t>3.3 服務成效 — 臺灣視光視力保健學會 執筆</w:t>
      </w:r>
    </w:p>
    <w:p>
      <w:pPr>
        <w:pStyle w:val="Heading3"/>
      </w:pPr>
      <w:r>
        <w:t>3.3.1 專業傳承：西莒學童返鄉案例</w:t>
      </w:r>
    </w:p>
    <w:p>
      <w:r>
        <w:t>受大叔團隊啟發考取視光系並取得國考執照返鄉服務，落實離島醫療自立。</w:t>
      </w:r>
    </w:p>
    <w:p>
      <w:pPr>
        <w:pStyle w:val="Heading1"/>
      </w:pPr>
      <w:r>
        <w:t>4. 建議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  <w:p>
      <w:pPr>
        <w:pStyle w:val="Heading1"/>
      </w:pPr>
      <w:r>
        <w:t>5. 結論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  <w:p>
      <w:pPr>
        <w:pStyle w:val="Heading1"/>
      </w:pPr>
      <w:r>
        <w:t>6. 參考文獻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hint="eastAsia" w:ascii="Times New Roman" w:eastAsia="新細明體"/>
      </w:rPr>
    </w:rPrDefault>
  </w:docDefaults>
  <w:style w:type="paragraph" w:styleId="Heading1">
    <w:name w:val="heading 1"/>
    <w:rPr>
      <w:b/>
      <w:sz w:val="36"/>
      <w:szCs w:val="36"/>
      <w:color w:val="1A4A7C"/>
    </w:rPr>
  </w:style>
  <w:style w:type="paragraph" w:styleId="Heading2">
    <w:name w:val="heading 2"/>
    <w:rPr>
      <w:b/>
      <w:sz w:val="32"/>
      <w:szCs w:val="32"/>
      <w:color w:val="2E6DA4"/>
    </w:rPr>
  </w:style>
  <w:style w:type="paragraph" w:styleId="Heading3">
    <w:name w:val="heading 3"/>
    <w:rPr>
      <w:b/>
      <w:sz w:val="28"/>
      <w:szCs w:val="28"/>
      <w:color w:val="44444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