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56"/>
          <w:szCs w:val="56"/>
        </w:rPr>
        <w:t>送愛到學校-離島跨領域合作模式 國家戰略正式版</w:t>
      </w:r>
    </w:p>
    <w:p>
      <w:pPr>
        <w:jc w:val="center"/>
        <w:spacing w:after="480"/>
      </w:pPr>
      <w:r>
        <w:rPr>
          <w:b/>
          <w:sz w:val="32"/>
          <w:color w:val="1A4A7C"/>
        </w:rPr>
        <w:t>教育部專案報告：落實校園基礎驗光與離島共同照護戰略</w:t>
      </w:r>
    </w:p>
    <w:p>
      <w:pPr>
        <w:pStyle w:val="Heading1"/>
      </w:pPr>
      <w:r>
        <w:t>1、 前言 — 張麗春 教授</w:t>
      </w:r>
    </w:p>
    <w:p>
      <w:pPr>
        <w:shd w:val="clear" w:color="auto" w:fill="FFF5F5"/>
      </w:pPr>
      <w:r>
        <w:rPr>
          <w:color w:val="C00000"/>
          <w:i/>
        </w:rPr>
        <w:t>（請教授補充內容。核心訴求：建立以專業驗光為基礎、跨領域協作為核心的校園視力守護體系。）</w:t>
      </w:r>
    </w:p>
    <w:p>
      <w:pPr>
        <w:pStyle w:val="Heading1"/>
      </w:pPr>
      <w:r>
        <w:t>2、 文獻查證</w:t>
      </w:r>
    </w:p>
    <w:p>
      <w:pPr>
        <w:pStyle w:val="Heading2"/>
      </w:pPr>
      <w:r>
        <w:t>2.1 學童視力保健現況 — 臺灣視光視力保健學會 執筆</w:t>
      </w:r>
    </w:p>
    <w:p>
      <w:pPr>
        <w:pStyle w:val="Heading3"/>
      </w:pPr>
      <w:r>
        <w:t>2.1.1 臺灣學童視力淪陷史：二十年數據分析</w:t>
      </w:r>
    </w:p>
    <w:p>
      <w:pPr>
        <w:spacing w:after="120"/>
        <w:jc w:val="both"/>
      </w:pPr>
      <w:r>
        <w:t>對比民國 94 與 113 學年度監測數據，我國學童視力健康呈現明顯惡化。</w:t>
      </w:r>
    </w:p>
    <w:p>
      <w:pPr>
        <w:ind w:left="720" w:hanging="360"/>
        <w:spacing w:after="120"/>
      </w:pPr>
      <w:r>
        <w:rPr>
          <w:b/>
        </w:rPr>
        <w:t>■ </w:t>
      </w:r>
      <w:r>
        <w:t>【離島紅利之喪失】民國 94 年，離島連江縣國小不良率僅 31.83%，具備顯著地理緩衝。至 113 學年度，連江縣國中端不良率已攀升至 71.21%，與全國平均 (71.96%) 接軌。主因在於數位學習普及化後，若缺乏配套之「基礎驗光介入」，離島學童之視力惡化速度將更難以管控。</w:t>
      </w:r>
    </w:p>
    <w:p>
      <w:pPr>
        <w:pStyle w:val="Heading2"/>
      </w:pPr>
      <w:r>
        <w:t>2.2 學童視力治療與矯正 — 臺灣視光視力保健學會 執筆</w:t>
      </w:r>
    </w:p>
    <w:p>
      <w:pPr>
        <w:pStyle w:val="Heading3"/>
      </w:pPr>
      <w:r>
        <w:t>2.2.1 矯正基石：精確驗光與足度矯正之重要性</w:t>
      </w:r>
    </w:p>
    <w:p>
      <w:pPr>
        <w:spacing w:after="120"/>
        <w:jc w:val="both"/>
      </w:pPr>
      <w:r>
        <w:t>本會強調：視力保健的核心不在於先進儀器，而在於「基礎驗光」的落實。未足度矯正 (Under-correction) 導致之視網膜模糊影像，是誘發眼軸增長的核心危險因子。</w:t>
      </w:r>
    </w:p>
    <w:p>
      <w:pPr>
        <w:ind w:left="960" w:right="960"/>
        <w:shd w:val="clear" w:color="auto" w:fill="F8F9FA"/>
        <w:spacing w:before="240" w:after="240"/>
        <w:pBdr>
          <w:left w:val="single" w:sz="24" w:space="4" w:color="2E6DA4"/>
        </w:pBdr>
      </w:pPr>
      <w:r>
        <w:rPr>
          <w:i/>
          <w:color w:val="444444"/>
        </w:rPr>
        <w:t>「足度全矯正 (Full Correction)」是所有介入措施的前提。確保每一份驗光處方之像素級精準，是守護學童學習專注力之首要任務。</w:t>
      </w:r>
    </w:p>
    <w:p>
      <w:pPr>
        <w:pStyle w:val="Heading1"/>
      </w:pPr>
      <w:r>
        <w:t>3、 離島跨領域合作模式：連江模式 (The Matsu Model)</w:t>
      </w:r>
    </w:p>
    <w:p>
      <w:pPr>
        <w:pStyle w:val="Heading2"/>
      </w:pPr>
      <w:r>
        <w:t>3.1 偏鄉兒童視力保健問題 — 張麗春 教授</w:t>
      </w:r>
    </w:p>
    <w:p>
      <w:pPr>
        <w:shd w:val="clear" w:color="auto" w:fill="FFF5F5"/>
      </w:pPr>
      <w:r>
        <w:rPr>
          <w:color w:val="C00000"/>
          <w:i/>
        </w:rPr>
        <w:t>（請教授補充內容。）</w:t>
      </w:r>
    </w:p>
    <w:p>
      <w:pPr>
        <w:pStyle w:val="Heading2"/>
      </w:pPr>
      <w:r>
        <w:t>3.2 跨領域服務模式實踐：解決「基礎驗光不足」之離島深耕</w:t>
      </w:r>
    </w:p>
    <w:p>
      <w:pPr>
        <w:pStyle w:val="Heading3"/>
      </w:pPr>
      <w:r>
        <w:t>3.2.1 國中小公益篩檢與專業配鏡之十年軌跡</w:t>
      </w:r>
    </w:p>
    <w:p>
      <w:pPr>
        <w:spacing w:after="120"/>
        <w:jc w:val="both"/>
      </w:pPr>
      <w:r>
        <w:t>本學會團隊深耕離島逾十載，深刻體認到離島視力保健之核心困境：不在於缺乏藥物，而在於「專業驗光資源之極度匱乏」。</w:t>
      </w:r>
    </w:p>
    <w:p>
      <w:pPr>
        <w:ind w:left="720" w:hanging="360"/>
        <w:spacing w:after="120"/>
      </w:pPr>
      <w:r>
        <w:rPr>
          <w:b/>
        </w:rPr>
        <w:t>■ </w:t>
      </w:r>
      <w:r>
        <w:t>【填補基礎驗光真空】過去十餘年，本團隊定期深入連江縣國中小校園，執行大規模公益視力篩檢。核心價值在於提供「主覺驗光 (Subjective Refraction)」與精密試鏡評估，確保每一位偏鄉學童都能獲得精確之光學矯正。</w:t>
      </w:r>
    </w:p>
    <w:p>
      <w:pPr>
        <w:ind w:left="720" w:hanging="360"/>
        <w:spacing w:after="120"/>
      </w:pPr>
      <w:r>
        <w:rPr>
          <w:b/>
        </w:rPr>
        <w:t>■ </w:t>
      </w:r>
      <w:r>
        <w:t>【解決『有錢買不到眼鏡』之正義】離島地區因無專業驗光所，學童即便有矯正需求，亦面臨無處可配、或配鏡不精準之窘境。本會提供之公益配鏡服務，實質解決了偏鄉學童在「基礎視覺照護」上的不平等。</w:t>
      </w:r>
    </w:p>
    <w:p>
      <w:pPr>
        <w:ind w:left="720" w:hanging="360"/>
        <w:spacing w:after="120"/>
      </w:pPr>
      <w:r>
        <w:rPr>
          <w:b/>
        </w:rPr>
        <w:t>■ </w:t>
      </w:r>
      <w:r>
        <w:t>【115 年落日條款對策】因應民國 115 年法規落日，針對離島「零驗光所」之現狀，推動「離島遠距醫囑指導共同照護」機制，確保學童不因法規更迭失去獲得「合法且精準驗光」之權利。</w:t>
      </w:r>
    </w:p>
    <w:p>
      <w:pPr>
        <w:pStyle w:val="Heading2"/>
      </w:pPr>
      <w:r>
        <w:t>3.3 服務成效：翻轉生命之傳承</w:t>
      </w:r>
    </w:p>
    <w:p>
      <w:pPr>
        <w:ind w:left="960" w:right="960"/>
        <w:shd w:val="clear" w:color="auto" w:fill="F8F9FA"/>
        <w:spacing w:before="240" w:after="240"/>
        <w:pBdr>
          <w:left w:val="single" w:sz="24" w:space="4" w:color="2E6DA4"/>
        </w:pBdr>
      </w:pPr>
      <w:r>
        <w:rPr>
          <w:i/>
          <w:color w:val="444444"/>
        </w:rPr>
        <w:t>【成效巔峰】西莒學童由「受助者」成長為「國家級驗光師」返鄉服務。這是本計畫針對國中小學童深耕 12 年之最高回饋，落實了偏鄉醫療自立。</w:t>
      </w:r>
    </w:p>
    <w:p>
      <w:pPr>
        <w:pStyle w:val="Heading1"/>
      </w:pPr>
      <w:r>
        <w:t>4、 國家級政策訴求：落實基礎專業入校</w:t>
      </w:r>
    </w:p>
    <w:p>
      <w:pPr>
        <w:spacing w:after="120"/>
        <w:jc w:val="both"/>
      </w:pPr>
      <w:r>
        <w:t>基於本會十年離島校園實務經驗，建請教育部採納以下建議，優先解決「基礎專業不足」之問題：</w:t>
      </w:r>
    </w:p>
    <w:p>
      <w:pPr>
        <w:ind w:left="720" w:hanging="360"/>
        <w:spacing w:after="120"/>
      </w:pPr>
      <w:r>
        <w:rPr>
          <w:b/>
        </w:rPr>
        <w:t>■ </w:t>
      </w:r>
      <w:r>
        <w:t>【提升校園驗光專業規格】倡議將「精密主覺驗光」納入國中小視力篩檢異常後之複查標準，而非僅停留在初步篩檢或簡單電腦驗光。</w:t>
      </w:r>
    </w:p>
    <w:p>
      <w:pPr>
        <w:ind w:left="720" w:hanging="360"/>
        <w:spacing w:after="120"/>
      </w:pPr>
      <w:r>
        <w:rPr>
          <w:b/>
        </w:rPr>
        <w:t>■ </w:t>
      </w:r>
      <w:r>
        <w:t>【驗光人員制度化納入校園體系】正式將具國考證照之專業驗光人員納入校園視力守護體系。藉由專業人員入校提供精密複評與視覺管理，解決現行體系中「基礎驗光人力與品質不足」之核心痛點。</w:t>
      </w:r>
    </w:p>
    <w:p>
      <w:pPr>
        <w:pStyle w:val="Heading1"/>
      </w:pPr>
      <w:r>
        <w:t>5、 結論與建議</w:t>
      </w:r>
    </w:p>
    <w:p>
      <w:pPr>
        <w:shd w:val="clear" w:color="auto" w:fill="FFF5F5"/>
      </w:pPr>
      <w:r>
        <w:rPr>
          <w:color w:val="C00000"/>
          <w:i/>
        </w:rPr>
        <w:t>（待補充）</w:t>
      </w:r>
    </w:p>
    <w:p>
      <w:pPr>
        <w:pStyle w:val="Heading1"/>
      </w:pPr>
      <w:r>
        <w:t>6、 參考文獻</w:t>
      </w:r>
    </w:p>
    <w:p>
      <w:pPr>
        <w:shd w:val="clear" w:color="auto" w:fill="FFF5F5"/>
      </w:pPr>
      <w:r>
        <w:rPr>
          <w:color w:val="C00000"/>
          <w:i/>
        </w:rPr>
        <w:t>（待補充）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新細明體" w:hAnsi="Times New Roman"/>
        <w:sz w:val="24"/>
        <w:szCs w:val="24"/>
      </w:rPr>
    </w:rPrDefault>
  </w:docDefaults>
  <w:style w:type="paragraph" w:styleId="Heading1">
    <w:name w:val="heading 1"/>
    <w:rPr>
      <w:b/>
      <w:sz w:val="38"/>
      <w:szCs w:val="38"/>
      <w:color w:val="1A4A7C"/>
    </w:rPr>
    <w:pPr>
      <w:spacing w:before="480" w:after="240"/>
    </w:pPr>
  </w:style>
  <w:style w:type="paragraph" w:styleId="Heading2">
    <w:name w:val="heading 2"/>
    <w:rPr>
      <w:b/>
      <w:sz w:val="32"/>
      <w:szCs w:val="32"/>
      <w:color w:val="2E6DA4"/>
    </w:rPr>
    <w:pPr>
      <w:spacing w:before="360" w:after="180"/>
    </w:pPr>
  </w:style>
  <w:style w:type="paragraph" w:styleId="Heading3">
    <w:name w:val="heading 3"/>
    <w:rPr>
      <w:b/>
      <w:sz w:val="28"/>
      <w:szCs w:val="28"/>
      <w:color w:val="333333"/>
    </w:rPr>
    <w:pPr>
      <w:spacing w:before="240" w:after="120"/>
    </w:pPr>
  </w:style>
</w:styles>
</file>

<file path=word/_rels/document.xml.rels><?xml version="1.0" encoding="UTF-8" standalone="yes"?><Relationships xmlns="http://schemas.openxmlformats.org/package/2006/relationships"><Relationship Id="rStyle" Type="http://schemas.openxmlformats.org/officeDocument/2006/relationships/styles" Target="styles.xml"/></Relationships>
</file>