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52"/>
          <w:szCs w:val="52"/>
        </w:rPr>
        <w:t>送愛到學校-學童視力篩檢與矯正服務之離島跨領域合作模式</w:t>
      </w:r>
    </w:p>
    <w:p>
      <w:pPr>
        <w:jc w:val="center"/>
      </w:pPr>
      <w:r>
        <w:rPr>
          <w:sz w:val="28"/>
          <w:szCs w:val="28"/>
        </w:rPr>
        <w:t>專案報告：臺灣視光視力保健學會 執筆專章</w:t>
      </w:r>
    </w:p>
    <w:p>
      <w:pPr>
        <w:pStyle w:val="Heading1"/>
        <w:spacing w:before="360" w:after="180"/>
      </w:pPr>
      <w:r>
        <w:t>1. 前言 — 張麗春 教授</w:t>
      </w:r>
    </w:p>
    <w:p>
      <w:pPr>
        <w:shd w:val="clear" w:color="auto" w:fill="F2F2F2"/>
      </w:pPr>
      <w:r>
        <w:rPr>
          <w:color w:val="D9534F"/>
          <w:i/>
        </w:rPr>
        <w:t>（請教授補充內容）</w:t>
      </w:r>
    </w:p>
    <w:p>
      <w:pPr>
        <w:pStyle w:val="Heading1"/>
        <w:spacing w:before="360" w:after="180"/>
      </w:pPr>
      <w:r>
        <w:t>2. 文獻查證</w:t>
      </w:r>
    </w:p>
    <w:p>
      <w:pPr>
        <w:pStyle w:val="Heading2"/>
        <w:spacing w:before="240" w:after="120"/>
      </w:pPr>
      <w:r>
        <w:t>2.1 學童視力保健現況 — 臺灣視光視力保健學會 執筆</w:t>
      </w:r>
    </w:p>
    <w:p>
      <w:pPr>
        <w:pStyle w:val="Heading3"/>
        <w:spacing w:before="120" w:after="60"/>
      </w:pPr>
      <w:r>
        <w:t>2.1.1 臺灣學童視力惡化之結構性斷層剖析 (94學年 vs 113學年)</w:t>
      </w:r>
    </w:p>
    <w:p>
      <w:pPr>
        <w:spacing w:after="120"/>
      </w:pPr>
      <w:r>
        <w:t>本會透過教育部歷年視力監測數據進行「像素級」對照分析，揭示我國學童視力健康面臨之歷史性轉折與公衛危機。</w:t>
      </w:r>
    </w:p>
    <w:p>
      <w:pPr>
        <w:ind w:left="560" w:hanging="280"/>
        <w:spacing w:after="60"/>
      </w:pPr>
      <w:r>
        <w:t>■ 數據基線與城鄉落差：於民國 94 學年度，國小總體不良率為 41.14%，當時台北市 (49.78%) 與離島連江縣 (31.83%) 存在顯著之 18% 資源差距紅利。</w:t>
      </w:r>
    </w:p>
    <w:p>
      <w:pPr>
        <w:ind w:left="560" w:hanging="280"/>
        <w:spacing w:after="60"/>
      </w:pPr>
      <w:r>
        <w:t>■ 二十年之淪陷史：至民國 113 學年度，連江縣國中端不良率已攀升至 71.21%，與全國總體 (71.96%) 已無實質差異。這證明地理優勢已完全被「數位學習型態」與「升學體制本島化」抵消。</w:t>
      </w:r>
    </w:p>
    <w:p>
      <w:pPr>
        <w:ind w:left="560" w:hanging="280"/>
        <w:spacing w:after="60"/>
      </w:pPr>
      <w:r>
        <w:t>■ 國中三年惡化曲線：七年級 (68.12%)、八年級 (72.66%)、九年級 (75.95%)。數據顯示國中階段以每年 4% 之速率穩定攀升，成為視力惡化之「失速路段」。</w:t>
      </w:r>
    </w:p>
    <w:p>
      <w:pPr>
        <w:ind w:left="560" w:hanging="280"/>
        <w:spacing w:after="60"/>
      </w:pPr>
      <w:r>
        <w:t>■ 性別與校制差異分析：女性學童不良率 (74.31%) 高於男性 (69.78%)；私立校院 (76.03%) 高於公立，顯示「高度競爭壓力」為視力惡化之關鍵環境因子。</w:t>
      </w:r>
    </w:p>
    <w:p>
      <w:pPr>
        <w:pStyle w:val="Heading2"/>
        <w:spacing w:before="240" w:after="120"/>
      </w:pPr>
      <w:r>
        <w:t>2.2 學童視力治療與矯正 — 臺灣視光視力保健學會 執筆</w:t>
      </w:r>
    </w:p>
    <w:p>
      <w:pPr>
        <w:pStyle w:val="Heading3"/>
        <w:spacing w:before="120" w:after="60"/>
      </w:pPr>
      <w:r>
        <w:t>2.2.1 矯正核心原則：遠方視力「足度全矯正」之生理實證</w:t>
      </w:r>
    </w:p>
    <w:p>
      <w:pPr>
        <w:ind w:left="720" w:right="720"/>
        <w:shd w:val="clear" w:color="auto" w:fill="F9F9F9"/>
        <w:spacing w:before="120" w:after="120"/>
      </w:pPr>
      <w:r>
        <w:rPr>
          <w:b/>
          <w:i/>
          <w:color w:val="666666"/>
        </w:rPr>
        <w:t>本會嚴正強調：任何近視管理介入（包含阿托品），若未建立在「足度全矯正 (Full Correction)」前提下，其療效皆會被視網膜模糊誘發之化學訊號抵消。</w:t>
      </w:r>
    </w:p>
    <w:p>
      <w:pPr>
        <w:pStyle w:val="Heading3"/>
        <w:spacing w:before="120" w:after="60"/>
      </w:pPr>
      <w:r>
        <w:t>2.2.2 藥物介入：低濃度阿托品與 LAMP 研究之深度應用</w:t>
      </w:r>
    </w:p>
    <w:p>
      <w:pPr>
        <w:spacing w:after="120"/>
      </w:pPr>
      <w:r>
        <w:t>基於 LAMP 研究數據，0.05% 阿托品在控制眼軸增長 (Axial Length) 上效果最為顯著（抑制率 ~0.25mm/年），為目前國際公認之「Sweet Spot」。</w:t>
      </w:r>
    </w:p>
    <w:p>
      <w:pPr>
        <w:ind w:left="560" w:hanging="280"/>
        <w:spacing w:after="60"/>
      </w:pPr>
      <w:r>
        <w:t>■ 藥物反彈預防：停藥必須採取「階梯式減量」SOP，嚴禁突然斷藥引發之鞏膜重塑風險。</w:t>
      </w:r>
    </w:p>
    <w:p>
      <w:pPr>
        <w:ind w:left="560" w:hanging="280"/>
        <w:spacing w:after="60"/>
      </w:pPr>
      <w:r>
        <w:t>■ 雙眼視監測警語：長期點藥需嚴格監控 AC/A Ratio 與調節滯後 (Lag of Accommodation)，避免引發看近融像壓力，導致學童閱讀專注力下降。</w:t>
      </w:r>
    </w:p>
    <w:p>
      <w:pPr>
        <w:pStyle w:val="Heading3"/>
        <w:spacing w:before="120" w:after="60"/>
      </w:pPr>
      <w:r>
        <w:t>2.2.3 階梯式處置與良心醫療 SOP</w:t>
      </w:r>
    </w:p>
    <w:p>
      <w:pPr>
        <w:ind w:left="560" w:hanging="280"/>
        <w:spacing w:after="60"/>
      </w:pPr>
      <w:r>
        <w:t>■ 基礎矯正期：設定 3 個月黃金觀察期，拒絕過度醫療與商業化配鏡。</w:t>
      </w:r>
    </w:p>
    <w:p>
      <w:pPr>
        <w:ind w:left="560" w:hanging="280"/>
        <w:spacing w:after="60"/>
      </w:pPr>
      <w:r>
        <w:t>■ 光學升級方案：包含角膜塑型 (Ortho-K) 之寒暑假 Washout SOP，以及周邊離焦鏡片 (DIMS/HAL) 之臨床適應症管理。</w:t>
      </w:r>
    </w:p>
    <w:p>
      <w:pPr>
        <w:pStyle w:val="Heading1"/>
        <w:spacing w:before="360" w:after="180"/>
      </w:pPr>
      <w:r>
        <w:t>2.3 視力保健健康不平等 — 張麗春 教授</w:t>
      </w:r>
    </w:p>
    <w:p>
      <w:pPr>
        <w:shd w:val="clear" w:color="auto" w:fill="F2F2F2"/>
      </w:pPr>
      <w:r>
        <w:rPr>
          <w:color w:val="D9534F"/>
          <w:i/>
        </w:rPr>
        <w:t>（請教授補充內容）</w:t>
      </w:r>
    </w:p>
    <w:p>
      <w:pPr>
        <w:pStyle w:val="Heading1"/>
        <w:spacing w:before="360" w:after="180"/>
      </w:pPr>
      <w:r>
        <w:t>3. 學童視力篩檢與矯正服務之離島跨領域合作模式</w:t>
      </w:r>
    </w:p>
    <w:p>
      <w:pPr>
        <w:pStyle w:val="Heading2"/>
        <w:spacing w:before="240" w:after="120"/>
      </w:pPr>
      <w:r>
        <w:t>3.1 偏鄉兒童視力保健問題 — 張麗春 教授</w:t>
      </w:r>
    </w:p>
    <w:p>
      <w:pPr>
        <w:shd w:val="clear" w:color="auto" w:fill="F2F2F2"/>
      </w:pPr>
      <w:r>
        <w:rPr>
          <w:color w:val="D9534F"/>
          <w:i/>
        </w:rPr>
        <w:t>（請教授補充內容）</w:t>
      </w:r>
    </w:p>
    <w:p>
      <w:pPr>
        <w:pStyle w:val="Heading2"/>
        <w:spacing w:before="240" w:after="120"/>
      </w:pPr>
      <w:r>
        <w:t>3.2 跨領域服務模式：幼兒與學童視力之共同照護 (離島模式)</w:t>
      </w:r>
    </w:p>
    <w:p>
      <w:pPr>
        <w:pStyle w:val="Heading3"/>
        <w:spacing w:before="120" w:after="60"/>
      </w:pPr>
      <w:r>
        <w:t>3.2.1 醫、教、光三方聯動之 SOP 實踐</w:t>
      </w:r>
    </w:p>
    <w:p>
      <w:pPr>
        <w:spacing w:after="120"/>
      </w:pPr>
      <w:r>
        <w:t>本模式核心在於「資源互補」而非「職域對立」。驗光人員作為「視力偵查兵」，與醫療端、教育端形成緊密閉環：</w:t>
      </w:r>
    </w:p>
    <w:p>
      <w:pPr>
        <w:ind w:left="560" w:hanging="280"/>
        <w:spacing w:after="60"/>
      </w:pPr>
      <w:r>
        <w:t>■ 第一線偵查：學校護理師初步篩檢，彙整異常名單。</w:t>
      </w:r>
    </w:p>
    <w:p>
      <w:pPr>
        <w:ind w:left="560" w:hanging="280"/>
        <w:spacing w:after="60"/>
      </w:pPr>
      <w:r>
        <w:t>■ 精準測評：驗光人員到校執行「主覺驗光」與「雙眼視分析」，區分單純屈光問題與疑似病理個案。</w:t>
      </w:r>
    </w:p>
    <w:p>
      <w:pPr>
        <w:ind w:left="560" w:hanging="280"/>
        <w:spacing w:after="60"/>
      </w:pPr>
      <w:r>
        <w:t>■ 醫療轉接：針對 6 歲以下幼兒或疑似眼疾個案，建立「綠色轉介通道」至衛生所醫師或定期巡迴眼科團隊。</w:t>
      </w:r>
    </w:p>
    <w:p>
      <w:pPr>
        <w:ind w:left="560" w:hanging="280"/>
        <w:spacing w:after="60"/>
      </w:pPr>
      <w:r>
        <w:t>■ 115 年落日條款對應：推動「種子計畫」與「離島遠距照護機制」，確保法規落日後離島專業人才不致斷層。</w:t>
      </w:r>
    </w:p>
    <w:p>
      <w:pPr>
        <w:pStyle w:val="Heading2"/>
        <w:spacing w:before="240" w:after="120"/>
      </w:pPr>
      <w:r>
        <w:t>3.3 服務成效 — 臺灣視光視力保健學會 執筆</w:t>
      </w:r>
    </w:p>
    <w:p>
      <w:pPr>
        <w:pStyle w:val="Heading3"/>
        <w:spacing w:before="120" w:after="60"/>
      </w:pPr>
      <w:r>
        <w:t>3.3.1 專業傳承與醫療自立：西莒學童返鄉案例</w:t>
      </w:r>
    </w:p>
    <w:p>
      <w:pPr>
        <w:spacing w:after="120"/>
      </w:pPr>
      <w:r>
        <w:t>一位居住於西莒之學童受大叔團隊啟發考取視光系，並於去年正式考取「國家驗光師執照」。</w:t>
      </w:r>
    </w:p>
    <w:p>
      <w:pPr>
        <w:ind w:left="720" w:right="720"/>
        <w:shd w:val="clear" w:color="auto" w:fill="F9F9F9"/>
        <w:spacing w:before="120" w:after="120"/>
      </w:pPr>
      <w:r>
        <w:rPr>
          <w:b/>
          <w:i/>
          <w:color w:val="666666"/>
        </w:rPr>
        <w:t>這是解決離島專業人才荒的終極典範：讓昔日的「受助者」成長為今日的「守護者」，實現真正意義上的偏鄉醫療自立。</w:t>
      </w:r>
    </w:p>
    <w:p>
      <w:pPr>
        <w:pStyle w:val="Heading1"/>
        <w:spacing w:before="360" w:after="180"/>
      </w:pPr>
      <w:r>
        <w:t>4. 建議</w:t>
      </w:r>
    </w:p>
    <w:p>
      <w:pPr>
        <w:shd w:val="clear" w:color="auto" w:fill="F2F2F2"/>
      </w:pPr>
      <w:r>
        <w:rPr>
          <w:color w:val="D9534F"/>
          <w:i/>
        </w:rPr>
        <w:t>（待補充）</w:t>
      </w:r>
    </w:p>
    <w:p>
      <w:pPr>
        <w:pStyle w:val="Heading1"/>
        <w:spacing w:before="360" w:after="180"/>
      </w:pPr>
      <w:r>
        <w:t>5. 結論</w:t>
      </w:r>
    </w:p>
    <w:p>
      <w:pPr>
        <w:shd w:val="clear" w:color="auto" w:fill="F2F2F2"/>
      </w:pPr>
      <w:r>
        <w:rPr>
          <w:color w:val="D9534F"/>
          <w:i/>
        </w:rPr>
        <w:t>（待補充）</w:t>
      </w:r>
    </w:p>
    <w:p>
      <w:pPr>
        <w:pStyle w:val="Heading1"/>
        <w:spacing w:before="360" w:after="180"/>
      </w:pPr>
      <w:r>
        <w:t>6. 參考文獻</w:t>
      </w:r>
    </w:p>
    <w:p>
      <w:pPr>
        <w:shd w:val="clear" w:color="auto" w:fill="F2F2F2"/>
      </w:pPr>
      <w:r>
        <w:rPr>
          <w:color w:val="D9534F"/>
          <w:i/>
        </w:rPr>
        <w:t>（待補充）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hint="eastAsia" w:ascii="Times New Roman" w:eastAsia="新細明體"/>
      </w:rPr>
    </w:rPrDefault>
  </w:docDefaults>
  <w:style w:type="paragraph" w:styleId="Heading1">
    <w:name w:val="heading 1"/>
    <w:rPr>
      <w:b/>
      <w:sz w:val="36"/>
      <w:szCs w:val="36"/>
      <w:color w:val="1A4A7C"/>
    </w:rPr>
  </w:style>
  <w:style w:type="paragraph" w:styleId="Heading2">
    <w:name w:val="heading 2"/>
    <w:rPr>
      <w:b/>
      <w:sz w:val="32"/>
      <w:szCs w:val="32"/>
      <w:color w:val="2E6DA4"/>
    </w:rPr>
  </w:style>
  <w:style w:type="paragraph" w:styleId="Heading3">
    <w:name w:val="heading 3"/>
    <w:rPr>
      <w:b/>
      <w:sz w:val="28"/>
      <w:szCs w:val="28"/>
      <w:color w:val="333333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