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rPr>
          <w:b/>
        </w:rPr>
        <w:t>各階段學生視力不良率（教育部 112 學年統計，2023-2024）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26.69%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62.99%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72.41%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81.61% (111學年)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72.41%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81.61% (111學年)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11.9% (Sydney Myopia Study)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36-42% (CooperVision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rPr/>
        <w:t>民國 88 年（1999 年），正式納入學生視力保健政策中，台灣開始大規模推動以散瞳劑（阿托品） 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61.5%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-6.00D 約 41 倍, -8.00D 約 127 倍 (Ogawa &amp; Tanaka 1988)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/>
              <w:t>2-3 倍 (低-中度) / 7.3 倍 (高度近視, Wang et al. 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5.1 視力篩檢流程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/>
          <w:color w:val="FF0000"/>
        </w:rPr>
        <w:t>大錯特錯。國際標準是「足度全矯正」。1. 欠矯正會讓視網膜持續接收模糊訊號，加速眼球生長。2. 散瞳劑放鬆睫狀肌後更須足度矯正，否則控制失敗。3. 結論：兩者必須完美搭配。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  <w:p>
      <w:r>
        <w:rPr/>
        <w:t>给政府之策略建言：</w:t>
      </w:r>
    </w:p>
    <w:p>
      <w:r>
        <w:rPr/>
        <w:t>1. 監測「年增長率」KPI；</w:t>
      </w:r>
    </w:p>
    <w:p>
      <w:r>
        <w:rPr/>
        <w:t>2. 推動 0.05% 阿托品給付與醫視分流；</w:t>
      </w:r>
    </w:p>
    <w:p>
      <w:r>
        <w:rPr/>
        <w:t>3. 戶外 2 小時行政指標化。</w:t>
      </w:r>
    </w:p>
    <w:p>
      <w:r>
        <w:rPr/>
        <w:t/>
      </w:r>
    </w:p>
    <w:p>
      <w:r>
        <w:rPr/>
        <w:t>新增參考文獻：</w:t>
      </w:r>
    </w:p>
    <w:p>
      <w:r>
        <w:rPr/>
        <w:t>- Wang YX, et al. (2022) Br J Ophthalmol. PMID: 34544884.</w:t>
      </w:r>
    </w:p>
    <w:p>
      <w:r>
        <w:rPr/>
        <w:t>- Ogawa A, Tanaka M. (1988) Jpn J Ophthalmol. PMID: 3235463.</w:t>
      </w:r>
    </w:p>
    <w:p>
      <w:r>
        <w:rPr/>
        <w:t>- Ip JM, et al. (2007) IOVS. PMID: 18055796.</w:t>
      </w:r>
    </w:p>
    <w:p>
      <w:r>
        <w:rPr/>
        <w:t>- Yue et al. (2025) Myopia Risk Prediction Model.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