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4"/>
          <w:szCs w:val="44"/>
        </w:rPr>
        <w:t>送愛到學校-學童視力篩檢與矯正服務之離島跨領域合作模式</w:t>
      </w:r>
    </w:p>
    <w:p>
      <w:pPr>
        <w:pStyle w:val="Heading1"/>
      </w:pPr>
      <w:r>
        <w:t>1. 前言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2.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全國視力惡化趨勢與結構性數據</w:t>
      </w:r>
    </w:p>
    <w:p>
      <w:r>
        <w:t>根據教育部 112 學年度最新統計數據，我國學童視力不良率隨教育階段呈現結構性攀升，且惡化態勢並未因現行政策而顯著逆轉。數據顯示，防治工作應聚焦於兩個關鍵失速點：國小中年級「調節壓力期」與國一「近視加速期」。</w:t>
      </w:r>
    </w:p>
    <w:p>
      <w:pPr>
        <w:ind w:left="420" w:hanging="420"/>
      </w:pPr>
      <w:r>
        <w:t>• 國小一年級：26.69%</w:t>
      </w:r>
    </w:p>
    <w:p>
      <w:pPr>
        <w:ind w:left="420" w:hanging="420"/>
      </w:pPr>
      <w:r>
        <w:t>• 國小六年級：62.99%</w:t>
      </w:r>
    </w:p>
    <w:p>
      <w:pPr>
        <w:ind w:left="420" w:hanging="420"/>
      </w:pPr>
      <w:r>
        <w:t>• 國中三年級：72.41%</w:t>
      </w:r>
    </w:p>
    <w:p>
      <w:pPr>
        <w:ind w:left="420" w:hanging="420"/>
      </w:pPr>
      <w:r>
        <w:t>• 高中三年級：81.61%</w:t>
      </w:r>
    </w:p>
    <w:p>
      <w:r>
        <w:t>歷史數據顯示，小六視力不良率由 2005 年之 54.8% 持續攀升至 2011 年之 65.0% 高峰，至今仍維持在 61% 以上，顯示過往防治策略有調整之急迫性。</w:t>
      </w:r>
    </w:p>
    <w:p>
      <w:pPr>
        <w:pStyle w:val="Heading3"/>
      </w:pPr>
      <w:r>
        <w:t>2.1.2 離島地區：資源稀缺下的公衛挑戰</w:t>
      </w:r>
    </w:p>
    <w:p>
      <w:r>
        <w:t>113 學年度連江縣國小裸視不良率為 45.68%，已略高於全國平均；國中端高達 71.21%。在「離島中的離島」如東引、莒光，基礎視力篩檢已成為極度稀缺的專業服務。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矯正黃金前提：遠方視力「足度全矯正」</w:t>
      </w:r>
    </w:p>
    <w:p>
      <w:r>
        <w:t>本會基於國際近視研究學會 (IMI) 指引與 ATOM/LAMP 等研究，確立近視管理之核心：散瞳劑（阿托品）之療效，必須建立在「遠方視力足度全矯正 (Full Correction)」的基礎上。未足度矯正導致之模糊影像（Blur）會誘發化學訊號刺激眼球眼軸增長，直接抵消藥物抑制效果。凡近視者，點藥前必須確保光學矯正之精準度。</w:t>
      </w:r>
    </w:p>
    <w:p>
      <w:pPr>
        <w:pStyle w:val="Heading3"/>
      </w:pPr>
      <w:r>
        <w:t>2.2.2 藥物介入之臨床風險管理 (阿托品專題)</w:t>
      </w:r>
    </w:p>
    <w:p>
      <w:r>
        <w:t>0.05% 阿托品為目前國際公認兼顧效果與低副作用之「黃金標準」。臨床處置應採「階梯式減量」停藥，防止鞏膜重塑引發之代償性眼軸增長。</w:t>
      </w:r>
    </w:p>
    <w:p>
      <w:pPr>
        <w:pStyle w:val="Heading3"/>
      </w:pPr>
      <w:r>
        <w:t>2.2.3 光學介入與階梯式處置原則</w:t>
      </w:r>
    </w:p>
    <w:p>
      <w:r>
        <w:t>應採行「先行為環境、後光學介入、再藥物升級」之階梯式策略：</w:t>
      </w:r>
    </w:p>
    <w:p>
      <w:pPr>
        <w:ind w:left="420" w:hanging="420"/>
      </w:pPr>
      <w:r>
        <w:t>• 單焦點鏡片 (SVL)：對於初次發現近視或度數穩定者，足度矯正之單焦點鏡片仍為第一線標準配備。</w:t>
      </w:r>
    </w:p>
    <w:p>
      <w:pPr>
        <w:ind w:left="420" w:hanging="420"/>
      </w:pPr>
      <w:r>
        <w:t>• 3個月黃金追蹤期：配戴後必須設定 3 個月追蹤期，若度數增加超過 50 度，則判定為單焦點鏡片控制不足，應果斷升級控制方案。</w:t>
      </w:r>
    </w:p>
    <w:p>
      <w:pPr>
        <w:ind w:left="420" w:hanging="420"/>
      </w:pPr>
      <w:r>
        <w:t>• 角膜塑型 (Ortho-K)：夜間配戴暫時改變角膜弧度，產生周邊離焦效果，研究顯示可減少約 40-60% 之眼軸增長。建議每年安排 Washout 停戴期以評估真實屈光變化。</w:t>
      </w:r>
    </w:p>
    <w:p>
      <w:pPr>
        <w:ind w:left="420" w:hanging="420"/>
      </w:pPr>
      <w:r>
        <w:t>• 周邊離焦眼鏡 (DIMS/HAL)：如 MiYOSMART 或 Stellest，透過鏡片周邊產生近視性離焦，適合各年齡層且無侵入性。</w:t>
      </w:r>
    </w:p>
    <w:p>
      <w:pPr>
        <w:ind w:left="420" w:hanging="420"/>
      </w:pPr>
      <w:r>
        <w:t>• 多焦軟性隱形眼鏡：日間配戴，控制效果約 30-50%。</w:t>
      </w:r>
    </w:p>
    <w:p>
      <w:pPr>
        <w:pStyle w:val="Heading3"/>
      </w:pPr>
      <w:r>
        <w:t>2.2.4 ⚠️ 雙眼視機能之監測與警語</w:t>
      </w:r>
    </w:p>
    <w:p>
      <w:r>
        <w:t>長期使用散瞳劑可能影響「近見三連動」（調節、輻輳、瞳孔收縮）機制。臨床上應定期監測雙眼視功能，包括調節幅度、調節靈活度、輻輳近點 (NPC) 與融像範圍。如發現雙眼視覺異常（如 AC/A ratio 異常），應轉介專業驗光師執行雙眼視功能訓練或調整處方，以確保視覺品質。</w:t>
      </w:r>
    </w:p>
    <w:p>
      <w:pPr>
        <w:pStyle w:val="Heading1"/>
      </w:pPr>
      <w:r>
        <w:t>2.3 視力保健健康不平等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3.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2"/>
      </w:pPr>
      <w:r>
        <w:t>3.2 跨領域服務模式 — 臺灣視光視力保健學會 執筆</w:t>
      </w:r>
    </w:p>
    <w:p>
      <w:pPr>
        <w:pStyle w:val="Heading3"/>
      </w:pPr>
      <w:r>
        <w:t>3.2.1 法規斷崖預警：連江縣「零驗光所」現狀</w:t>
      </w:r>
    </w:p>
    <w:p>
      <w:r>
        <w:t>截至目前連江縣尚無合法驗光所。隨 115 年《驗光人員法》落日條款到期，離島學童將面臨合法屈光資源完全斷絕之窘境。</w:t>
      </w:r>
    </w:p>
    <w:p>
      <w:pPr>
        <w:pStyle w:val="Heading3"/>
      </w:pPr>
      <w:r>
        <w:t>3.2.2 跨領域協作模式 (離島 SOP)</w:t>
      </w:r>
    </w:p>
    <w:p>
      <w:pPr>
        <w:ind w:left="420" w:hanging="420"/>
      </w:pPr>
      <w:r>
        <w:t>• 醫療端（衛生局/所）：行政對接、場地支援與病理診斷轉銜。</w:t>
      </w:r>
    </w:p>
    <w:p>
      <w:pPr>
        <w:ind w:left="420" w:hanging="420"/>
      </w:pPr>
      <w:r>
        <w:t>• 教育端（離島各中小學）：護理師執行初步篩檢、數據彙整。</w:t>
      </w:r>
    </w:p>
    <w:p>
      <w:pPr>
        <w:ind w:left="420" w:hanging="420"/>
      </w:pPr>
      <w:r>
        <w:t>• 專業端（視光學會團隊）：派遣專業驗光師團攜帶精密設備，執行「主覺驗光」與「光學矯正管理」，填補偏鄉視覺照護真空。</w:t>
      </w:r>
    </w:p>
    <w:p>
      <w:pPr>
        <w:pStyle w:val="Heading2"/>
      </w:pPr>
      <w:r>
        <w:t>3.3 服務成效 — 臺灣視光視力保健學會 執筆</w:t>
      </w:r>
    </w:p>
    <w:p>
      <w:pPr>
        <w:pStyle w:val="Heading3"/>
      </w:pPr>
      <w:r>
        <w:t>3.3.1 質化成效：守護受教權與視覺正義</w:t>
      </w:r>
    </w:p>
    <w:p>
      <w:r>
        <w:t>確保離島學童具備高品質之「矯正視力」，實質保障了偏鄉學童的學習競爭力。</w:t>
      </w:r>
    </w:p>
    <w:p>
      <w:pPr>
        <w:pStyle w:val="Heading3"/>
      </w:pPr>
      <w:r>
        <w:t>3.3.2 專業傳承奇蹟：偏鄉醫療自立之實證</w:t>
      </w:r>
    </w:p>
    <w:p>
      <w:r>
        <w:t>案例記錄：一位居住於西莒之學童，考取元培醫事科技大學視光系，並於去年考取「國家驗光師執照」，從昔日的「受助者」成長為今日的「守護者」。這不僅是 12 年服務的最佳見證，更是解決離島人才荒的終極典範。</w:t>
      </w:r>
    </w:p>
    <w:p>
      <w:pPr>
        <w:pStyle w:val="Heading1"/>
      </w:pPr>
      <w:r>
        <w:t>4. 建議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5. 結論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6. 參考文獻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2"/>
      <w:szCs w:val="32"/>
      <w:color w:val="1A4A7C"/>
    </w:rPr>
  </w:style>
  <w:style w:type="paragraph" w:styleId="Heading2">
    <w:name w:val="heading 2"/>
    <w:rPr>
      <w:b/>
      <w:sz w:val="28"/>
      <w:szCs w:val="28"/>
      <w:color w:val="2E6DA4"/>
    </w:rPr>
  </w:style>
  <w:style w:type="paragraph" w:styleId="Heading3">
    <w:name w:val="heading 3"/>
    <w:rPr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