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szCs w:val="56"/>
        </w:rPr>
        <w:t>送愛到學校-離島跨領域合作模式 國家戰略正式版</w:t>
      </w:r>
    </w:p>
    <w:p>
      <w:pPr>
        <w:jc w:val="center"/>
        <w:spacing w:after="480"/>
      </w:pPr>
      <w:r>
        <w:rPr>
          <w:b/>
          <w:sz w:val="32"/>
          <w:color w:val="1A4A7C"/>
        </w:rPr>
        <w:t>教育部專案報告：國家視覺資本守護戰略與離島模式</w:t>
      </w:r>
    </w:p>
    <w:p>
      <w:pPr>
        <w:pStyle w:val="Heading1"/>
      </w:pPr>
      <w:r>
        <w:t>1、 前言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（請教授補充內容。建議引導語：本計畫將學童視力定義為國家「視覺資本 (Visual Capital)」。在數位平權時代，視力不只是健康指標，更是獲取知識與維持國力的基礎設施。核心訴求：建立以數據為基礎、跨領域協作為核心的校園視力守護體系。）</w:t>
      </w:r>
    </w:p>
    <w:p>
      <w:pPr>
        <w:pStyle w:val="Heading1"/>
      </w:pPr>
      <w:r>
        <w:t>2、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臺灣學童視力淪陷之二十年因果洞察 (民國 94 年至 113 年)</w:t>
      </w:r>
    </w:p>
    <w:p>
      <w:pPr>
        <w:spacing w:after="120"/>
        <w:jc w:val="both"/>
      </w:pPr>
      <w:r>
        <w:t>本專章透過教育部二十載之長週期監測數據，解析台灣學童視力健康面臨之歷史性結構潰散。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【數位平權後的副作用】對比民國 94 年（國小不良率 41.14%）與 113 年（國中不良率 71.96%），地理紅利已完全消失。主因在於政府推動「數位平權」與「生生用平板」時，若無配套的視光公衛介入，離島學童因環境光照不足與數位高度依賴，其不良率 (71.21%) 已實質追平本島都會區。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【國中惡化之『超速路段』】數據揭示：七年級 (68.12%) → 八年級 (72.66%) → 九年級 (75.95%)。國一不良率已接近小六的兩倍，這代表「升學斷層」是視力崩壞的核彈。本會倡議政策介入點應由「被動追蹤結果」轉向「主動監測趨勢」。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【高度近視低齡化預警】高三超過 35.7% 學生已邁入高度近視 (≥500度) 之失明等級風險。這不僅是個人健康議題，更是國家長規醫療支出之潛在負擔。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核心學理：『模糊即腦力資源浪費』與足度矯正</w:t>
      </w:r>
    </w:p>
    <w:p>
      <w:pPr>
        <w:spacing w:after="120"/>
        <w:jc w:val="both"/>
      </w:pPr>
      <w:r>
        <w:t>健康的視力是數位學習的底層協議。本會基於 IMI 國際指引強調：未足度矯正 (Under-correction) 導致之視網膜模糊影像，不僅誘發眼軸代償性增長，更會迫使大腦分配額外資源處理視覺錯誤，直接導致學童學習專注力下降與腦力資源浪費。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生理邏輯：視網膜後離焦訊號會誘導鞏膜重塑。確保驗光處方之像素級精準，就是守護學童的數位學習效率。</w:t>
      </w:r>
    </w:p>
    <w:p>
      <w:pPr>
        <w:pStyle w:val="Heading3"/>
      </w:pPr>
      <w:r>
        <w:t>2.2.2 近視管理之實證應用：0.05% 阿托品與環境友善性</w:t>
      </w:r>
    </w:p>
    <w:p>
      <w:pPr>
        <w:spacing w:after="120"/>
        <w:jc w:val="both"/>
      </w:pPr>
      <w:r>
        <w:t>根據 LAMP 研究實證，0.05% 阿托品在控制眼軸增長 (~0.25mm/年) 與維持生活適應性間達成最佳平衡。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【光學介入之環保優勢】相較於藥物之光毒性疑慮，周邊離焦鏡片 (DIMS/HAL) 與角膜塑型 (Ortho-K) 對學童戶外活動更具友善性，能完美銜接教育部「戶外活動 2 小時」之核心政策方針。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【專業格調 SOP】Ortho-K 使用者應定期執行寒暑假 2-4 週之 Washout (停戴期)，確保獲取真實屈光度數與角膜地形圖判讀。</w:t>
      </w:r>
    </w:p>
    <w:p>
      <w:pPr>
        <w:pStyle w:val="Heading3"/>
      </w:pPr>
      <w:r>
        <w:t>2.2.3 雙眼視機能監測：驗光專業的守門員價值</w:t>
      </w:r>
    </w:p>
    <w:p>
      <w:pPr>
        <w:spacing w:after="120"/>
        <w:jc w:val="both"/>
      </w:pPr>
      <w:r>
        <w:t>驗光人員之核心價值在於監控干預手段對生理機制之干擾。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【AC/A Ratio 監控】避免點藥後引發高 AC/A 伴隨內斜位傾向。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【調節滯後 (Lag) 管理】防止藥物導致之調節不足引發視網膜後離焦。</w:t>
      </w:r>
    </w:p>
    <w:p>
      <w:pPr>
        <w:pStyle w:val="Heading2"/>
      </w:pPr>
      <w:r>
        <w:t>2.3 視力保健健康不平等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（請教授補充內容。探討社會經濟地位、城鄉資源不平等對「視覺資本」積累之阻礙。）</w:t>
      </w:r>
    </w:p>
    <w:p>
      <w:pPr>
        <w:pStyle w:val="Heading1"/>
      </w:pPr>
      <w:r>
        <w:t>3、 離島跨領域合作模式：連江模式 (The Matsu Model)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（請教授補充內容。）</w:t>
      </w:r>
    </w:p>
    <w:p>
      <w:pPr>
        <w:pStyle w:val="Heading2"/>
      </w:pPr>
      <w:r>
        <w:t>3.2 跨領域服務模式實踐：醫、教、光三方守護閉環</w:t>
      </w:r>
    </w:p>
    <w:p>
      <w:pPr>
        <w:pStyle w:val="Heading3"/>
      </w:pPr>
      <w:r>
        <w:t>3.2.1 離島專項：6 歲以下幼兒之預警與共同照護</w:t>
      </w:r>
    </w:p>
    <w:p>
      <w:pPr>
        <w:spacing w:after="120"/>
        <w:jc w:val="both"/>
      </w:pPr>
      <w:r>
        <w:t>本計畫建立之『連江模式』，為解決偏鄉資源真空之標竿 SOP：</w:t>
      </w:r>
    </w:p>
    <w:p>
      <w:pPr>
        <w:ind w:left="720" w:hanging="360"/>
        <w:spacing w:after="120"/>
      </w:pPr>
      <w:r>
        <w:rPr>
          <w:b/>
        </w:rPr>
        <w:t>■ </w:t>
      </w:r>
      <w:r>
        <w:t>【視光偵查兵機制】驗光人員運用檢影鏡 (Retinoscopy) 執行非接觸式評估，監測「遠方視力足度全矯正」前提下之視覺發育，並作為醫師診斷之關鍵前導指標。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【115 年法規斷崖應對】針對民國 115 年落日條款，提出「離島遠距共同醫囑指導」與「種子人才計畫」。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115 年後，離島將正式進入『驗光合法化真空期』。若不以此模式為藍本建立合法機制，政府將無法保障離島學童獲得合法的視力矯正權利，這涉及社會公平與城鄉正義之底線。</w:t>
      </w:r>
    </w:p>
    <w:p>
      <w:pPr>
        <w:pStyle w:val="Heading2"/>
      </w:pPr>
      <w:r>
        <w:t>3.3 服務成效：翻轉生命之傳承</w:t>
      </w:r>
    </w:p>
    <w:p>
      <w:pPr>
        <w:spacing w:after="120"/>
        <w:jc w:val="both"/>
      </w:pPr>
      <w:r>
        <w:t>西莒學童由「受助者」成長為「國家級驗光師」返鄉服務。這不只是感人案例，更是「偏鄉醫療自立」之經濟模型，實質降低政府長規外援支出。</w:t>
      </w:r>
    </w:p>
    <w:p>
      <w:pPr>
        <w:pStyle w:val="Heading1"/>
      </w:pPr>
      <w:r>
        <w:t>4、 國家級政策訴求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【學生視力健康護照】倡議將「眼軸長 (Axial Length)」納入學校健檢常規紀錄。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【制度化納入】將具國考證照之驗光人員正式納入校園視力守護體系。</w:t>
      </w:r>
    </w:p>
    <w:p>
      <w:pPr>
        <w:pStyle w:val="Heading1"/>
      </w:pPr>
      <w:r>
        <w:t>5、 結論與建議</w:t>
      </w:r>
    </w:p>
    <w:p>
      <w:pPr>
        <w:shd w:val="clear" w:color="auto" w:fill="FFF5F5"/>
      </w:pPr>
      <w:r>
        <w:rPr>
          <w:color w:val="C00000"/>
          <w:i/>
        </w:rPr>
        <w:t>（待補充）</w:t>
      </w:r>
    </w:p>
    <w:p>
      <w:pPr>
        <w:pStyle w:val="Heading1"/>
      </w:pPr>
      <w:r>
        <w:t>6、 參考文獻</w:t>
      </w:r>
    </w:p>
    <w:p>
      <w:pPr>
        <w:shd w:val="clear" w:color="auto" w:fill="FFF5F5"/>
      </w:pPr>
      <w:r>
        <w:rPr>
          <w:color w:val="C00000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新細明體" w:hAnsi="Times New Roman"/>
        <w:sz w:val="24"/>
        <w:szCs w:val="24"/>
      </w:rPr>
    </w:rPrDefault>
  </w:docDefaults>
  <w:style w:type="paragraph" w:styleId="Heading1">
    <w:name w:val="heading 1"/>
    <w:rPr>
      <w:b/>
      <w:sz w:val="38"/>
      <w:szCs w:val="38"/>
      <w:color w:val="1A4A7C"/>
    </w:rPr>
    <w:pPr>
      <w:spacing w:before="480" w:after="240"/>
      <w:outlineLvl w:val="0"/>
    </w:pPr>
  </w:style>
  <w:style w:type="paragraph" w:styleId="Heading2">
    <w:name w:val="heading 2"/>
    <w:rPr>
      <w:b/>
      <w:sz w:val="32"/>
      <w:szCs w:val="32"/>
      <w:color w:val="2E6DA4"/>
    </w:rPr>
    <w:pPr>
      <w:spacing w:before="360" w:after="180"/>
      <w:outlineLvl w:val="1"/>
    </w:pPr>
  </w:style>
  <w:style w:type="paragraph" w:styleId="Heading3">
    <w:name w:val="heading 3"/>
    <w:rPr>
      <w:b/>
      <w:sz w:val="28"/>
      <w:szCs w:val="28"/>
      <w:color w:val="333333"/>
    </w:rPr>
    <w:pPr>
      <w:spacing w:before="240" w:after="120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
</file>