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  <Relationship Id="rId4" Type="http://schemas.openxmlformats.org/officeDocument/2006/relationships/extended-properties" Target="docProps/app.xml"/>
  <Relationship Id="rId3" Type="http://schemas.openxmlformats.org/package/2006/relationships/metadata/core-properties" Target="docProps/core.xml"/>
  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81.61%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jc w:val="center"/>
      </w:pPr>
      <w:r>
        <w:drawing>
          <wp:inline distT="0" distB="0" distL="0" distR="0">
            <wp:extent cx="5486400" cy="3112018"/>
            <wp:effectExtent l="0" t="0" r="0" b="0"/>
            <wp:docPr id="401" name="chart1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chart1_trend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  <w:color w:val="666666"/>
        </w:rPr>
        <w:t xml:space="preserve">圖 1　各學習階段學生視力不良率變化（2005–2024）　資料來源：教育部統計處</w:t>
      </w:r>
    </w:p>
    <w:p>
      <w:pPr>
        <w:pStyle w:val="BodyText"/>
      </w:pPr>
      <w:r>
        <w:rPr>
          <w:bCs/>
          <w:b/>
        </w:rPr>
        <w:t xml:space="preserve">關鍵發現</w:t>
      </w:r>
      <w:r>
        <w:t>： - 2005 至 2011 年間，各階段近視率</w:t>
      </w:r>
      <w:r>
        <w:rPr>
          <w:bCs/>
          <w:b/>
        </w:rPr>
        <w:t xml:space="preserve">持續惡化</w:t>
      </w:r>
      <w:r>
        <w:t xml:space="preserve"> - 2011 年後才開始緩慢下降 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>： - 對近視學童點用 0.5% 或 1% 阿托品眼藥水 - 透過學校健康檢查發現異常後轉介眼科 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62.99%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 - 家長與學童動輒等待 </w:t>
      </w:r>
      <w:r>
        <w:rPr>
          <w:bCs/>
          <w:b/>
        </w:rPr>
        <w:t xml:space="preserve">1-2 小時</w:t>
      </w:r>
      <w:r>
        <w:t xml:space="preserve"> - 醫師被迫壓縮看診時間，甚至 </w:t>
      </w:r>
      <w:r>
        <w:rPr>
          <w:bCs/>
          <w:b/>
        </w:rPr>
        <w:t xml:space="preserve">不到 5 分鐘</w:t>
      </w:r>
      <w:r>
        <w:t xml:space="preserve"> - 無法提供完整的視機能評估與衛教 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 - 眼科診所因人力不足，常由 </w:t>
      </w:r>
      <w:r>
        <w:rPr>
          <w:bCs/>
          <w:b/>
        </w:rPr>
        <w:t xml:space="preserve">未具國考證照的人員</w:t>
      </w:r>
      <w:r>
        <w:t xml:space="preserve"> 操作驗光儀器 - 形成「</w:t>
      </w:r>
      <w:r>
        <w:rPr>
          <w:bCs/>
          <w:b/>
        </w:rPr>
        <w:t xml:space="preserve">法規最嚴、現場最鬆</w:t>
      </w:r>
      <w:r>
        <w:t>」的矛盾 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，這是台灣學童視力保健體系的核心困境。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，效果接近高濃度，副作用大幅減少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>： - 推動「戶外活動 + 低濃度阿托品」雙軌策略 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 - 正常成人眼軸約 </w:t>
      </w:r>
      <w:r>
        <w:rPr>
          <w:bCs/>
          <w:b/>
        </w:rPr>
        <w:t xml:space="preserve">24 mm</w:t>
      </w:r>
      <w:r>
        <w:t xml:space="preserve"> - 眼軸每增長 </w:t>
      </w:r>
      <w:r>
        <w:rPr>
          <w:bCs/>
          <w:b/>
        </w:rPr>
        <w:t xml:space="preserve">1 mm</w:t>
      </w:r>
      <w:r>
        <w:t xml:space="preserve">，近視約增加 </w:t>
      </w:r>
      <w:r>
        <w:rPr>
          <w:bCs/>
          <w:b/>
        </w:rPr>
        <w:t xml:space="preserve">250-300 度</w:t>
      </w:r>
      <w:r>
        <w:t xml:space="preserve"> - 高度近視者眼軸可超過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- 需經</w:t>
      </w:r>
      <w:r>
        <w:rPr>
          <w:bCs/>
          <w:b/>
        </w:rPr>
        <w:t xml:space="preserve">散瞳驗光</w:t>
      </w:r>
      <w:r>
        <w:t>（睫狀肌麻痺劑）後測量 - 散瞳後度數消失 → 假性近視 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>： - 嬰幼兒：遠視 - 學齡期：逐漸趨向正視 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>： 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- 超過正視狀態，變成近視 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- 學齡前兒童應有 </w:t>
      </w:r>
      <w:r>
        <w:rPr>
          <w:bCs/>
          <w:b/>
        </w:rPr>
        <w:t xml:space="preserve">+1.00 到 +2.00 D</w:t>
      </w:r>
      <w:r>
        <w:t xml:space="preserve"> 的遠視儲備 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>： - 遺傳傾向≠命中注定 - 環境因素可以</w:t>
      </w:r>
      <w:r>
        <w:rPr>
          <w:bCs/>
          <w:b/>
        </w:rPr>
        <w:t xml:space="preserve">調控</w:t>
      </w:r>
      <w:r>
        <w:t>遺傳表現 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>眼軸過長會導致： - 眼球壁（鞏膜）變薄 - 視網膜被拉伸 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 </w:t>
            </w:r>
            <w:r>
              <w:rPr>
                <w:bCs/>
                <w:b/>
              </w:rPr>
              <w:t xml:space="preserve">46%</w:t>
            </w:r>
            <w:r>
              <w:t xml:space="preserve"> 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 - 上學途中 15 分鐘 - 課間戶外 10 分鐘 × 4 次 = 40 分鐘 - 體育課 40 分鐘 - 放學後 30 分鐘 -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 - 近距離用眼 </w:t>
      </w:r>
      <w:r>
        <w:rPr>
          <w:bCs/>
          <w:b/>
        </w:rPr>
        <w:t xml:space="preserve">30 分鐘</w:t>
      </w:r>
      <w:r>
        <w:t xml:space="preserve"> - 休息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>： - 大螢幕優於小螢幕 - 保持適當距離 - 調整螢幕亮度與對比 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 </w:t>
      </w:r>
      <w:r>
        <w:rPr>
          <w:bCs/>
          <w:b/>
        </w:rPr>
        <w:t xml:space="preserve">+2.00D ~ +3.00D</w:t>
      </w:r>
      <w:r>
        <w:t xml:space="preserve"> 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>是： - 眼軸逐漸拉長 - 遠視度數逐漸減少 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 - </w:t>
      </w:r>
      <w:r>
        <w:rPr>
          <w:bCs/>
          <w:b/>
        </w:rPr>
        <w:t xml:space="preserve">Mutti (2009)</w:t>
      </w:r>
      <w:r>
        <w:t xml:space="preserve"> 指出，正視化是一個雙向修正的過程，過高的遠視如果不下降，反而是發育停滯的訊號。 - </w:t>
      </w:r>
      <w:r>
        <w:rPr>
          <w:bCs/>
          <w:b/>
        </w:rPr>
        <w:t xml:space="preserve">Flitcroft (2014)</w:t>
      </w:r>
      <w:r>
        <w:t xml:space="preserve"> 在 </w:t>
      </w:r>
      <w:r>
        <w:rPr>
          <w:iCs/>
          <w:i/>
        </w:rPr>
        <w:t xml:space="preserve">Eye (Nature)</w:t>
      </w:r>
      <w:r>
        <w:t xml:space="preserve"> 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 -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 </w:t>
      </w:r>
      <w:r>
        <w:rPr>
          <w:bCs/>
          <w:b/>
        </w:rPr>
        <w:t xml:space="preserve">+0.75D 以下</w:t>
      </w:r>
      <w:r>
        <w:t xml:space="preserve">（6 歲時）才是高風險群；已接近正視或已無遠視儲備者，風險更高。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 -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 - </w:t>
      </w:r>
      <w:r>
        <w:rPr>
          <w:bCs/>
          <w:b/>
        </w:rPr>
        <w:t xml:space="preserve">6 歲時 +0.75D ~ +1.25D</w:t>
      </w:r>
      <w:r>
        <w:t xml:space="preserve"> 是理想範圍 - </w:t>
      </w:r>
      <w:r>
        <w:rPr>
          <w:bCs/>
          <w:b/>
        </w:rPr>
        <w:t xml:space="preserve">+1.00D 左右是完美值</w:t>
      </w:r>
      <w:r>
        <w:t xml:space="preserve"> 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>，可透過以下機制減緩近視進展： - 作用於視網膜或鞏膜的蕈毒鹼受體 - 可能影響眼軸增長的訊號傳遞 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jc w:val="center"/>
      </w:pPr>
      <w:r>
        <w:drawing>
          <wp:inline distT="0" distB="0" distL="0" distR="0">
            <wp:extent cx="5486400" cy="3104678"/>
            <wp:effectExtent l="0" t="0" r="0" b="0"/>
            <wp:docPr id="402" name="chart2_atro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chart2_atropine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  <w:color w:val="666666"/>
        </w:rPr>
        <w:t xml:space="preserve">圖 2　阿托品各濃度效果與副作用之平衡　資料來源：LAMP Study；Ha et al. 2022</w:t>
      </w:r>
    </w:p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 - </w:t>
      </w:r>
      <w:r>
        <w:rPr>
          <w:bCs/>
          <w:b/>
        </w:rPr>
        <w:t xml:space="preserve">0.05%</w:t>
      </w:r>
      <w:r>
        <w:t xml:space="preserve"> 在控制眼軸增長上效果顯著，且副作用極低 - </w:t>
      </w:r>
      <w:r>
        <w:rPr>
          <w:bCs/>
          <w:b/>
        </w:rPr>
        <w:t xml:space="preserve">0.01%</w:t>
      </w:r>
      <w:r>
        <w:t xml:space="preserve"> 的效果在不同研究中結果不一致（亞洲研究效果較佳，歐美研究效果較差） - 目前國際趨勢認為 </w:t>
      </w:r>
      <w:r>
        <w:rPr>
          <w:bCs/>
          <w:b/>
        </w:rPr>
        <w:t xml:space="preserve">0.05% 是最佳平衡點（Sweet Spot）</w:t>
      </w:r>
    </w:p>
    <w:p>
      <w:pPr>
        <w:pStyle w:val="BodyText"/>
      </w:pPr>
      <w:r>
        <w:rPr>
          <w:bCs/>
          <w:b/>
        </w:rPr>
        <w:t xml:space="preserve">數據判讀說明：</w:t>
      </w:r>
      <w:r>
        <w:t xml:space="preserve">上表各濃度之屈光與眼軸控制數值取自網絡統合分析（Ha et al. 2022），係彙整不同試驗之估計值，各濃度間的信賴區間相互重疊，故點估計值未必呈嚴格的濃度遞增關係。跨濃度之整體效果比較，請以第 4.3 節「各方法比較」所列之區間為準。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>研究顯示，停用阿托品後可能出現近視進展加速的「反彈效應」： - 高濃度反彈較明顯 - 低濃度反彈較輕 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 - </w:t>
      </w:r>
      <w:r>
        <w:rPr>
          <w:bCs/>
          <w:b/>
        </w:rPr>
        <w:t xml:space="preserve">調節（Accommodation）</w:t>
      </w:r>
      <w:r>
        <w:t xml:space="preserve">：看近時水晶體變厚的能力 - </w:t>
      </w:r>
      <w:r>
        <w:rPr>
          <w:bCs/>
          <w:b/>
        </w:rPr>
        <w:t xml:space="preserve">輻輳（Convergence）</w:t>
      </w:r>
      <w:r>
        <w:t xml:space="preserve">：雙眼向內轉動對準近物的能力 -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>： - 使用散瞳劑的學童應</w:t>
      </w:r>
      <w:r>
        <w:rPr>
          <w:bCs/>
          <w:b/>
        </w:rPr>
        <w:t xml:space="preserve">定期監測雙眼視功能</w:t>
      </w:r>
      <w:r>
        <w:t xml:space="preserve"> - 評估項目包括：調節幅度、調節靈活度、輻輳近點（NPC）、融像範圍 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避免過度醫療的處置原則</w:t>
      </w:r>
    </w:p>
    <w:p>
      <w:pPr>
        <w:pStyle w:val="BlockText"/>
      </w:pPr>
      <w:r>
        <w:rPr>
          <w:bCs/>
          <w:b/>
        </w:rPr>
        <w:t xml:space="preserve">家長無須因行銷訊息而感到焦慮。</w:t>
      </w:r>
    </w:p>
    <w:p>
      <w:pPr>
        <w:pStyle w:val="BlockText"/>
      </w:pPr>
      <w:r>
        <w:t xml:space="preserve">孩子初次發現近視，是否一定要立即配置高單價的近視控制鏡片？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許多孩子其實只需要一副精準驗配、配戴舒適的單焦點鏡片，再搭配改善不良用眼姿勢，度數即可趨於穩定。</w:t>
      </w:r>
    </w:p>
    <w:p>
      <w:pPr>
        <w:pStyle w:val="FirstParagraph"/>
      </w:pPr>
      <w:r>
        <w:rPr>
          <w:bCs/>
          <w:b/>
        </w:rPr>
        <w:t xml:space="preserve">建議做法</w:t>
      </w:r>
      <w:r>
        <w:t>： 1. 先配單焦點鏡片（精準驗光、足度矯正）； 2. 與家長約定：</w:t>
      </w:r>
      <w:r>
        <w:rPr>
          <w:bCs/>
          <w:b/>
        </w:rPr>
        <w:t xml:space="preserve">3 個月後務必回診追蹤</w:t>
      </w:r>
      <w:r>
        <w:t xml:space="preserve"> 3. 若 3 個月後度數穩定 → 繼續配戴單焦點鏡片，兼顧成效與經濟； 4. 若進展仍未獲控制 → 再評估升級近視控制方案，使資源用於必要之處。</w:t>
      </w:r>
    </w:p>
    <w:p>
      <w:pPr>
        <w:pStyle w:val="BlockText"/>
      </w:pPr>
      <w:r>
        <w:rPr>
          <w:bCs/>
          <w:b/>
        </w:rPr>
        <w:t xml:space="preserve">這是負責任的專業做法：依實際需要提供處置，避免不必要的醫療支出。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p>
      <w:r>
        <w:rPr>
          <w:b/>
          <w:color w:val="0070C0"/>
        </w:rPr>
        <w:t xml:space="preserve">【生活化防治策略：日常守護行動清單】</w:t>
      </w:r>
    </w:p>
    <w:p>
      <w:r>
        <w:t xml:space="preserve">1. 校園淨空令：下課鐘響落實「教室淨空」，引導全體學生至戶外接收自然光。</w:t>
      </w:r>
    </w:p>
    <w:p>
      <w:r>
        <w:t xml:space="preserve">2. 視覺動態教學：增加實體教具與分組移動，避免長時間單一焦距凝視。</w:t>
      </w:r>
    </w:p>
    <w:p>
      <w:r>
        <w:t xml:space="preserve">3. 均衡飲食與充足睡眠：維持規律作息與均衡營養，並確保每日充足睡眠，支持眼球正常發育。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>： - 更專業的屈光篩檢 - 可提供初步屈光狀態評估 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p>
      <w:pPr>
        <w:jc w:val="center"/>
      </w:pPr>
      <w:r>
        <w:drawing>
          <wp:inline distT="0" distB="0" distL="0" distR="0">
            <wp:extent cx="5486400" cy="3632886"/>
            <wp:effectExtent l="0" t="0" r="0" b="0"/>
            <wp:docPr id="403" name="chart3_refer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chart3_referral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  <w:color w:val="666666"/>
        </w:rPr>
        <w:t xml:space="preserve">圖 3　學童視力異常轉介與追蹤流程（眼科—驗光雙軌分流）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>： - 6 歲以上兒童可至驗光所檢查 - 15 歲以下驗光需有眼科醫師指導 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p>
      <w:pPr>
        <w:pStyle w:val="BodyText"/>
      </w:pPr>
      <w:r>
        <w:rPr>
          <w:i/>
          <w:color w:val="666666"/>
        </w:rPr>
        <w:t xml:space="preserve">（有關現行轉介體系的結構性問題與改革建議，本學會另編有《學童視力保健政策建言附冊》，詳見該附冊「貳、現行學童視力保健體系的結構性問題」與「參、政策建議」。）</w:t>
      </w:r>
    </w:p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 - 驗光師可執行非侵入性眼球屈光狀態測量 - </w:t>
      </w:r>
      <w:r>
        <w:rPr>
          <w:bCs/>
          <w:b/>
        </w:rPr>
        <w:t xml:space="preserve">15 歲以下需在眼科醫師指導下執行</w:t>
      </w:r>
      <w:r>
        <w:t xml:space="preserve"> -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>： - 調節功能異常可能是近視進展的推手 - 雙眼視覺問題可能導致閱讀困難、眼睛疲勞 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>： - 散光 ≥ 0.75D 應精準矯正 - 不可為了「簡化處方」而犧牲矯正品質 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>： - 角膜塑型會暫時改變角膜弧度 - 配戴期間無法測得真實屈光度數 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>： - 角膜是否完全回彈（角膜地形圖確認） - 真實屈光度數變化 - 眼軸長度變化 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>： - 每 6 個月評估控制成效 - 進展過快（&gt; 50 度/半年）則升級處置 - 控制穩定可維持現有方案 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p>
      <w:pPr>
        <w:pStyle w:val="BodyText"/>
      </w:pPr>
      <w:r>
        <w:rPr>
          <w:i/>
          <w:color w:val="666666"/>
        </w:rPr>
        <w:t xml:space="preserve">（有關驗光師的社會責任、公衛功能與全齡／偏鄉視力照護之定位，本學會另編有《學童視力保健政策建言附冊》，詳見該附冊「壹、驗光師的專業定位與公衛功能」。）</w:t>
      </w:r>
    </w:p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不介入回條行政，專注精緻服務與深度照護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>： - 是目前</w:t>
      </w:r>
      <w:r>
        <w:rPr>
          <w:bCs/>
          <w:b/>
        </w:rPr>
        <w:t xml:space="preserve">有效的</w:t>
      </w:r>
      <w:r>
        <w:t>近視控制藥物 - 但效果因人而異 - 高濃度副作用明顯（畏光、調節麻痺） 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>： - 近視快速進展（每年 &gt; 75-100 度） - 已嘗試光學控制方法效果不佳 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>： - 近視進展較慢 - 無法配合每天點藥 - 對副作用敏感 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>： - 阿托品需由</w:t>
      </w:r>
      <w:r>
        <w:rPr>
          <w:bCs/>
          <w:b/>
        </w:rPr>
        <w:t xml:space="preserve">眼科醫師處方</w:t>
      </w:r>
      <w:r>
        <w:t xml:space="preserve"> - 不要自行購買或停用 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 - 2017 年 Meta-analysis：戶外活動可減少 </w:t>
      </w:r>
      <w:r>
        <w:rPr>
          <w:bCs/>
          <w:b/>
        </w:rPr>
        <w:t xml:space="preserve">46%</w:t>
      </w:r>
      <w:r>
        <w:t xml:space="preserve"> 的新發近視 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>： - 戶外光照強度高（10,000-100,000 lux） - 刺激視網膜釋放多巴胺 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>： - 研究顯示戶外活動</w:t>
      </w:r>
      <w:r>
        <w:rPr>
          <w:bCs/>
          <w:b/>
        </w:rPr>
        <w:t xml:space="preserve">無法明顯減緩</w:t>
      </w:r>
      <w:r>
        <w:t>已近視者的進展 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>： - 還沒近視：</w:t>
      </w:r>
      <w:r>
        <w:rPr>
          <w:bCs/>
          <w:b/>
        </w:rPr>
        <w:t xml:space="preserve">增加戶外活動是最重要的預防策略</w:t>
      </w:r>
      <w:r>
        <w:t xml:space="preserve"> 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>： - 增加近距離用眼時間 - 減少戶外活動時間 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 - 大螢幕優於小螢幕 - 保持適當距離 - 每 30 分鐘休息 10 分鐘 - 避免在黑暗中使用 -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>： - 因用眼過度造成睫狀肌痙攣 - 休息或散瞳後可恢復 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>： - 眼軸已經增長 - 眼軸增長是</w:t>
      </w:r>
      <w:r>
        <w:rPr>
          <w:bCs/>
          <w:b/>
        </w:rPr>
        <w:t xml:space="preserve">不可逆</w:t>
      </w:r>
      <w:r>
        <w:t>的 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>： - 網路上的「治癒」聲稱多為誇大或誤導 - 雷射手術是改變角膜曲率，不是「治癒」近視 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>： - 近視</w:t>
      </w:r>
      <w:r>
        <w:rPr>
          <w:bCs/>
          <w:b/>
        </w:rPr>
        <w:t xml:space="preserve">預防</w:t>
      </w:r>
      <w:r>
        <w:t>勝於控制 - 近視</w:t>
      </w:r>
      <w:r>
        <w:rPr>
          <w:bCs/>
          <w:b/>
        </w:rPr>
        <w:t xml:space="preserve">控制</w:t>
      </w:r>
      <w:r>
        <w:t>勝於放任 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不會。國際標準是「足度全矯正」：正確配足度數的眼鏡不會加速近視，反而欠矯（配不足度數）可能加速近視進展。此外，使用散瞳劑期間仍應配戴足度眼鏡。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>： - 「戴眼鏡會越戴越深」 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>： - 研究證實：欠矯（配不足的度數）可能</w:t>
      </w:r>
      <w:r>
        <w:rPr>
          <w:bCs/>
          <w:b/>
        </w:rPr>
        <w:t xml:space="preserve">加速</w:t>
      </w:r>
      <w:r>
        <w:t>近視進展 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>： - 近視進展是眼軸增長造成 - 與是否戴眼鏡無關 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>： - 配戴</w:t>
      </w:r>
      <w:r>
        <w:rPr>
          <w:bCs/>
          <w:b/>
        </w:rPr>
        <w:t xml:space="preserve">足夠度數</w:t>
      </w:r>
      <w:r>
        <w:t>的眼鏡 - 定期追蹤，度數變化時更換 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>： - 視力突然下降 - 眼睛紅腫、疼痛 - 看東西歪頭、瞇眼 - 抱怨頭痛、眼睛疲勞 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>： - 眼科診所/醫院（6 歲以下必須） 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>： - 白天不需戴眼鏡 - 近視控制效果佳（約 40-60%） 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>： 1. 由</w:t>
      </w:r>
      <w:r>
        <w:rPr>
          <w:bCs/>
          <w:b/>
        </w:rPr>
        <w:t xml:space="preserve">合格專業人員</w:t>
      </w:r>
      <w:r>
        <w:t>驗配 2. 使用</w:t>
      </w:r>
      <w:r>
        <w:rPr>
          <w:bCs/>
          <w:b/>
        </w:rPr>
        <w:t xml:space="preserve">合格產品</w:t>
      </w:r>
      <w:r>
        <w:t xml:space="preserve"> 3. </w:t>
      </w:r>
      <w:r>
        <w:rPr>
          <w:bCs/>
          <w:b/>
        </w:rPr>
        <w:t xml:space="preserve">嚴格遵守清潔程序</w:t>
      </w:r>
      <w:r>
        <w:t xml:space="preserve"> 4. </w:t>
      </w:r>
      <w:r>
        <w:rPr>
          <w:bCs/>
          <w:b/>
        </w:rPr>
        <w:t xml:space="preserve">定期回診追蹤</w:t>
      </w:r>
      <w:r>
        <w:t>（建議每 3 個月） 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>： - 無法配合清潔與追蹤 - 有嚴重過敏或乾眼 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>： - 輕微畏光：戶外可戴太陽眼鏡或變色鏡片 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附錄二：家長衛教單張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2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 </w:t>
      </w:r>
      <w:r>
        <w:rPr>
          <w:bCs/>
          <w:b/>
        </w:rPr>
        <w:t xml:space="preserve">視網膜剝離、黃斑部病變</w:t>
      </w:r>
      <w:r>
        <w:t xml:space="preserve"> 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3"/>
      </w:pPr>
      <w:r>
        <w:t xml:space="preserve">每天戶外活動至少 2 小時</w:t>
      </w:r>
    </w:p>
    <w:p>
      <w:pPr>
        <w:pStyle w:val="FirstParagraph"/>
      </w:pPr>
      <w:r>
        <w:t xml:space="preserve">✅ 這是目前 </w:t>
      </w:r>
      <w:r>
        <w:rPr>
          <w:bCs/>
          <w:b/>
        </w:rPr>
        <w:t xml:space="preserve">科學證據最充分</w:t>
      </w:r>
      <w:r>
        <w:t xml:space="preserve"> 的預防策略 ✅ 可減少近視發生率達 </w:t>
      </w:r>
      <w:r>
        <w:rPr>
          <w:bCs/>
          <w:b/>
        </w:rPr>
        <w:t xml:space="preserve">46%</w:t>
      </w:r>
      <w:r>
        <w:t xml:space="preserve"> ✅ 陰天也有效，重點是「戶外光線」 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>： - 大螢幕優於小螢幕 - 保持適當距離 - 每 30 分鐘休息 10 分鐘 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2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附錄三：教室環境檢核表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附錄四：相關法規彙整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>學校應對下列對象，定期實施健康檢查： 一、各級學校新生。 二、國民小學學生。 三、國民中學學生。 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>學生健康檢查之項目如下： 一、一般健康檢查： （一）</w:t>
      </w:r>
      <w:r>
        <w:rPr>
          <w:bCs/>
          <w:b/>
        </w:rPr>
        <w:t xml:space="preserve">視力檢查</w:t>
      </w:r>
      <w:r>
        <w:t>。 （二）辨色力檢查。 （三）聽力檢查。 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>兒童及少年不得為下列行為： … 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附錄五：參考文獻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 </w:t>
      </w:r>
      <w:r>
        <w:rPr>
          <w:iCs/>
          <w:i/>
        </w:rPr>
        <w:t xml:space="preserve">Acta Ophthalmologica</w:t>
      </w:r>
      <w:r>
        <w:t xml:space="preserve">. 2017;95(6):551-566. doi:10.1111/aos.13403.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 </w:t>
      </w:r>
      <w:r>
        <w:rPr>
          <w:iCs/>
          <w:i/>
        </w:rPr>
        <w:t xml:space="preserve">Ophthalmology</w:t>
      </w:r>
      <w:r>
        <w:t xml:space="preserve">. 2022;129(3):322-333. doi:10.1016/j.ophtha.2021.10.016.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 </w:t>
      </w:r>
      <w:r>
        <w:rPr>
          <w:iCs/>
          <w:i/>
        </w:rPr>
        <w:t xml:space="preserve">Ophthalmology</w:t>
      </w:r>
      <w:r>
        <w:t xml:space="preserve">. 2016;123(4):697-708. doi:10.1016/j.ophtha.2015.11.010.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 </w:t>
      </w:r>
      <w:r>
        <w:rPr>
          <w:iCs/>
          <w:i/>
        </w:rPr>
        <w:t xml:space="preserve">JAMA</w:t>
      </w:r>
      <w:r>
        <w:t xml:space="preserve">. 2015;314(11):1142-1148. doi:10.1001/jama.2015.10803.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 </w:t>
      </w:r>
      <w:r>
        <w:rPr>
          <w:iCs/>
          <w:i/>
        </w:rPr>
        <w:t xml:space="preserve">Ophthalmology</w:t>
      </w:r>
      <w:r>
        <w:t xml:space="preserve">. 2013;120(5):1080-1085. doi:10.1016/j.ophtha.2012.11.009.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 </w:t>
      </w:r>
      <w:r>
        <w:rPr>
          <w:iCs/>
          <w:i/>
        </w:rPr>
        <w:t xml:space="preserve">Ophthalmology</w:t>
      </w:r>
      <w:r>
        <w:t xml:space="preserve">. 2008;115(8):1279-1285. doi:10.1016/j.ophtha.2007.12.019.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 </w:t>
      </w:r>
      <w:r>
        <w:rPr>
          <w:iCs/>
          <w:i/>
        </w:rPr>
        <w:t xml:space="preserve">Ophthalmology</w:t>
      </w:r>
      <w:r>
        <w:t xml:space="preserve">. 2019;126(1):113-124. doi:10.1016/j.ophtha.2018.05.029. </w:t>
      </w:r>
      <w:r>
        <w:rPr>
          <w:bCs/>
          <w:b/>
        </w:rPr>
        <w:t xml:space="preserve">PMID: 30514630</w:t>
      </w:r>
      <w:r>
        <w:t xml:space="preserve"> ⭐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 </w:t>
      </w:r>
      <w:r>
        <w:rPr>
          <w:iCs/>
          <w:i/>
        </w:rPr>
        <w:t xml:space="preserve">Ophthalmology</w:t>
      </w:r>
      <w:r>
        <w:t xml:space="preserve">. 2020;127(7):910-919. doi:10.1016/j.ophtha.2019.12.011.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 </w:t>
      </w:r>
      <w:r>
        <w:rPr>
          <w:iCs/>
          <w:i/>
        </w:rPr>
        <w:t xml:space="preserve">Ophthalmology</w:t>
      </w:r>
      <w:r>
        <w:t xml:space="preserve">. 2012;119(2):347-354. doi:10.1016/j.ophtha.2011.07.031.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 </w:t>
      </w:r>
      <w:r>
        <w:rPr>
          <w:iCs/>
          <w:i/>
        </w:rPr>
        <w:t xml:space="preserve">Ophthalmology</w:t>
      </w:r>
      <w:r>
        <w:t xml:space="preserve">. 2006;113(12):2285-2291. doi:10.1016/j.ophtha.2006.05.062.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 </w:t>
      </w:r>
      <w:r>
        <w:rPr>
          <w:iCs/>
          <w:i/>
        </w:rPr>
        <w:t xml:space="preserve">Ophthalmology</w:t>
      </w:r>
      <w:r>
        <w:t xml:space="preserve">. 2016;123(5):1036-1042. doi:10.1016/j.ophtha.2016.01.006.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 </w:t>
      </w:r>
      <w:r>
        <w:rPr>
          <w:iCs/>
          <w:i/>
        </w:rPr>
        <w:t xml:space="preserve">Eye (London)</w:t>
      </w:r>
      <w:r>
        <w:t xml:space="preserve">. 2014;28(2):169-179. doi:10.1038/eye.2013.276. </w:t>
      </w:r>
      <w:r>
        <w:rPr>
          <w:bCs/>
          <w:b/>
        </w:rPr>
        <w:t xml:space="preserve">PMID: 24406412</w:t>
      </w:r>
      <w:r>
        <w:t xml:space="preserve"> ⭐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 </w:t>
      </w:r>
      <w:r>
        <w:rPr>
          <w:bCs/>
          <w:b/>
        </w:rPr>
        <w:t xml:space="preserve">PMID: 25837970</w:t>
      </w:r>
      <w:r>
        <w:t xml:space="preserve"> ⭐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 </w:t>
      </w:r>
      <w:r>
        <w:rPr>
          <w:iCs/>
          <w:i/>
        </w:rPr>
        <w:t xml:space="preserve">Ophthalmology</w:t>
      </w:r>
      <w:r>
        <w:t xml:space="preserve">. 2016;123(4):681-689. doi:10.1016/j.ophtha.2015.11.023.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
  <Relationship Type="http://schemas.openxmlformats.org/officeDocument/2006/relationships/numbering" Id="rId1" Target="numbering.xml"/>
  <Relationship Type="http://schemas.openxmlformats.org/officeDocument/2006/relationships/styles" Id="rId2" Target="styles.xml"/>
  <Relationship Type="http://schemas.openxmlformats.org/officeDocument/2006/relationships/settings" Id="rId3" Target="settings.xml"/>
  <Relationship Type="http://schemas.openxmlformats.org/officeDocument/2006/relationships/webSettings" Id="rId4" Target="webSettings.xml"/>
  <Relationship Type="http://schemas.openxmlformats.org/officeDocument/2006/relationships/fontTable" Id="rId5" Target="fontTable.xml"/>
  <Relationship Type="http://schemas.openxmlformats.org/officeDocument/2006/relationships/theme" Id="rId6" Target="theme/theme1.xml"/>
  <Relationship Type="http://schemas.openxmlformats.org/officeDocument/2006/relationships/footnotes" Id="rId7" Target="footnotes.xml"/>
  <Relationship Type="http://schemas.openxmlformats.org/officeDocument/2006/relationships/comments" Id="rId8" Target="comments.xml"/>
  <Relationship Type="http://schemas.openxmlformats.org/officeDocument/2006/relationships/hyperlink" Id="rId314" Target="https://law.moj.gov.tw/" TargetMode="External"/>
  <Relationship Type="http://schemas.openxmlformats.org/officeDocument/2006/relationships/image" Id="rId401" Target="media/chart1_trend.png"/>
  <Relationship Type="http://schemas.openxmlformats.org/officeDocument/2006/relationships/image" Id="rId402" Target="media/chart2_atropine.png"/>
  <Relationship Type="http://schemas.openxmlformats.org/officeDocument/2006/relationships/image" Id="rId403" Target="media/chart3_referral.png"/>
</Relationships>

</file>

<file path=word/_rels/footnotes.xml.rels><?xml version="1.0" encoding="utf-8"?>
<Relationships xmlns="http://schemas.openxmlformats.org/package/2006/relationships">
  <Relationship Type="http://schemas.openxmlformats.org/officeDocument/2006/relationships/hyperlink" Id="rId314" Target="https://law.moj.gov.tw/" TargetMode="Externa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