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i w:val="0"/>
          <w:color w:val="1A1A2E"/>
          <w:sz w:val="60"/>
        </w:rPr>
        <w:t>TORNEO LEGAZZI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6A085"/>
          <w:sz w:val="34"/>
        </w:rPr>
        <w:t>Serie A 2026/27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6C757D"/>
          <w:sz w:val="22"/>
        </w:rPr>
        <w:t>Regolamento ufficiale</w:t>
      </w:r>
    </w:p>
    <w:p>
      <w:pPr>
        <w:spacing w:after="320"/>
        <w:pBdr>
          <w:bottom w:val="single" w:sz="12" w:space="1" w:color="1ABC9C"/>
        </w:pBdr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1. Partecipazione e quota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Il torneo è aperto a tutti i partecipanti invitati. La quota di iscrizione è di 10€ a persona, da versare tramite Revolut entro la data di chiusura delle iscrizioni.</w:t>
      </w:r>
    </w:p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Per iscriversi ogni giocatore deve: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Compilare il file Excel ufficiale (Nome_Cognome.xlsx) con i pronostici di tutte le 380 partite della stagione Serie A 2026/27 (giornate 1–38).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Caricare il file compilato tramite il Google Form ufficiale entro le scadenze indicate (vedi sezione 3).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Compilare il Form con i propri Bonus picks (Capocannoniere, Campione d'Italia, ecc.).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Versare la quota di iscrizione di 10€.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2. Struttura dei pronostici</w:t>
      </w:r>
    </w:p>
    <w:p>
      <w:pPr>
        <w:spacing w:before="240" w:after="120"/>
      </w:pPr>
      <w:r>
        <w:rPr>
          <w:rFonts w:ascii="Calibri" w:hAnsi="Calibri"/>
          <w:b/>
          <w:i w:val="0"/>
          <w:color w:val="16A085"/>
          <w:sz w:val="24"/>
        </w:rPr>
        <w:t>2.1  Partite di campionato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Per ogni partita (380 totali, 10 per giornata × 38 giornate) il giocatore indica il risultato finale esatto, ad esempio 2-1. Il sistema calcola automaticamente l'esito (1 = vittoria casa, X = pareggio, 2 = vittoria trasferta).</w:t>
      </w:r>
    </w:p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16A085"/>
          <w:sz w:val="24"/>
        </w:rPr>
        <w:t>2.2  Classifica finale di Serie 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Il giocatore indica la posizione finale di tutte e 20 le squadre nella classifica della Serie A al termine della stagione regolare. Per ogni squadra posizionata esattamente nella posizione giusta vengono assegnati 500 punti.</w:t>
      </w:r>
    </w:p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Esempio: se il giocatore pronostica l'Inter al 1° posto e l'Inter finisce effettivamente al 1° posto → 500 punti. Se l'Inter finisce al 2° posto → 0 punti per quella voce.</w:t>
      </w:r>
    </w:p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La classifica pronosticata viene inserita direttamente nel file Excel, nel foglio dedicato, compilando la graduatoria completa delle 20 squadre dalla 1ª alla 20ª posizione.</w:t>
      </w:r>
    </w:p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16A085"/>
          <w:sz w:val="24"/>
        </w:rPr>
        <w:t>2.3  Bonus picks (Google Form)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Prima dell'inizio del campionato ogni giocatore compila il Form Google indicando il proprio pronostico per: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Capocannoniere (miglior marcatore della stagione)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Migliore difesa (squadra con meno gol subiti)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Migliore attacco (squadra con più gol segnati)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Campione d'inverno (primo in classifica dopo la 19ª giornata)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Vincitore Coppa Italia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Vincitore Supercoppa Italiana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Campione d'Italia (vincitore del campionato)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3. Scadenze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BC9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Pronostico</w:t>
            </w:r>
          </w:p>
        </w:tc>
        <w:tc>
          <w:tcPr>
            <w:tcW w:type="dxa" w:w="4703"/>
            <w:shd w:val="clear" w:color="auto" w:fill="1ABC9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Scadenza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File Excel (partite + classifica finale) + Form Bonus picks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Entro il 21 agosto 2026</w:t>
              <w:br/>
              <w:t>(2 giorni prima della 1ª giornata — 23 agosto 2026)</w:t>
            </w:r>
          </w:p>
        </w:tc>
      </w:tr>
      <w:tr>
        <w:tc>
          <w:tcPr>
            <w:tcW w:type="dxa" w:w="4703"/>
            <w:shd w:val="clear" w:color="auto" w:fill="F0FAFA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Aggiornamento pronostici Ritorno (giornate 20–38)</w:t>
            </w:r>
          </w:p>
        </w:tc>
        <w:tc>
          <w:tcPr>
            <w:tcW w:type="dxa" w:w="4703"/>
            <w:shd w:val="clear" w:color="auto" w:fill="F0FAFA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Entro il 16 gennaio 2027</w:t>
              <w:br/>
              <w:t>(1 giorno prima della 1ª giornata di ritorno — 17 gennaio 2027)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/>
          <w:color w:val="6C757D"/>
          <w:sz w:val="22"/>
        </w:rPr>
        <w:t>Non saranno accettati file caricati dopo le scadenze indicate. I pronostici non inseriti entro la scadenza valgono 0 punti.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4. Sistema di punteggio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BC9C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Tipo di pronostico</w:t>
            </w:r>
          </w:p>
        </w:tc>
        <w:tc>
          <w:tcPr>
            <w:tcW w:type="dxa" w:w="4703"/>
            <w:shd w:val="clear" w:color="auto" w:fill="1ABC9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Punteggio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Esito corretto (1 / X / 2)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100 punti</w:t>
            </w:r>
          </w:p>
        </w:tc>
      </w:tr>
      <w:tr>
        <w:tc>
          <w:tcPr>
            <w:tcW w:type="dxa" w:w="4703"/>
            <w:shd w:val="clear" w:color="auto" w:fill="F0FAFA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Risultato esatto (es. 2-1)</w:t>
            </w:r>
          </w:p>
        </w:tc>
        <w:tc>
          <w:tcPr>
            <w:tcW w:type="dxa" w:w="4703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300 punti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Posizione esatta nella classifica finale (per ogni squadra)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500 punti</w:t>
            </w:r>
          </w:p>
        </w:tc>
      </w:tr>
      <w:tr>
        <w:tc>
          <w:tcPr>
            <w:tcW w:type="dxa" w:w="4703"/>
            <w:shd w:val="clear" w:color="auto" w:fill="F0FAFA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Bonus pick corretto (per ognuno dei 7 bonus)</w:t>
            </w:r>
          </w:p>
        </w:tc>
        <w:tc>
          <w:tcPr>
            <w:tcW w:type="dxa" w:w="4703"/>
            <w:shd w:val="clear" w:color="auto" w:fill="F0FA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1.000 punti</w:t>
            </w:r>
          </w:p>
        </w:tc>
      </w:tr>
    </w:tbl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Note importanti: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Risultato esatto: vale 300 punti in totale (i 100 pt dell'esito sono già inclusi). I 100 pt dell'esito vengono assegnati solo quando il risultato non è esatto ma l'esito 1/X/2 è comunque corretto.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Classifica finale: il punteggio massimo ottenibile è 20 × 500 = 10.000 punti (tutte le 20 squadre al posto giusto).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Bonus picks: il punteggio massimo ottenibile è 7 × 1.000 = 7.000 punti.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5. Classifica e criteri di spareggio</w:t>
      </w:r>
    </w:p>
    <w:p>
      <w:pPr>
        <w:spacing w:before="240" w:after="120"/>
      </w:pPr>
      <w:r>
        <w:rPr>
          <w:rFonts w:ascii="Calibri" w:hAnsi="Calibri"/>
          <w:b/>
          <w:i w:val="0"/>
          <w:color w:val="16A085"/>
          <w:sz w:val="24"/>
        </w:rPr>
        <w:t>5.1  Classifica in tempo reale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La classifica viene aggiornata e pubblicata sul sito ufficiale dopo ogni giornata di campionato.</w:t>
      </w:r>
    </w:p>
    <w:p>
      <w:pPr>
        <w:spacing w:before="0"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16A085"/>
          <w:sz w:val="24"/>
        </w:rPr>
        <w:t>5.2  Pari punti — criteri di spareggio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In caso di parità di punteggio tra due o più giocatori, si applicano i seguenti criteri nell'ordine indicato: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sz w:val="22"/>
        </w:rPr>
        <w:t>Maggior numero di risultati esatti (300 pt) indovinati.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sz w:val="22"/>
        </w:rPr>
        <w:t>Maggior numero di esiti 1/X/2 corretti.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sz w:val="22"/>
        </w:rPr>
        <w:t>Maggior numero di bonus picks corretti.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sz w:val="22"/>
        </w:rPr>
        <w:t>Maggior numero di posizioni esatte nella classifica finale.</w:t>
      </w:r>
    </w:p>
    <w:p>
      <w:pPr>
        <w:pStyle w:val="ListNumber"/>
        <w:spacing w:before="20" w:after="20"/>
      </w:pPr>
      <w:r>
        <w:rPr>
          <w:rFonts w:ascii="Calibri" w:hAnsi="Calibri"/>
          <w:b w:val="0"/>
          <w:i w:val="0"/>
          <w:sz w:val="22"/>
        </w:rPr>
        <w:t>Ordine alfabetico per cognome.</w:t>
      </w:r>
    </w:p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La posizione in classifica con parità è assegnata in stile gara: due giocatori a pari merito al 1° posto occupano entrambi il 1° posto, il successivo occupa il 3° (es. 1, 1, 3, 3, 5…).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6. Montepremi</w:t>
      </w:r>
    </w:p>
    <w:p>
      <w:pPr>
        <w:spacing w:before="80" w:after="80"/>
        <w:ind w:left="454"/>
        <w:pBdr>
          <w:left w:val="single" w:sz="16" w:space="12" w:color="1ABC9C"/>
        </w:pBdr>
      </w:pPr>
      <w:r>
        <w:rPr>
          <w:rFonts w:ascii="Calibri" w:hAnsi="Calibri"/>
          <w:b w:val="0"/>
          <w:i/>
          <w:sz w:val="22"/>
        </w:rPr>
        <w:t>Il montepremi verrà comunicato ufficialmente una volta chiuse le iscrizioni, in base al numero definitivo di partecipanti. La distribuzione tra i primi classificati sarà annunciata contestualmente.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7. Pubblicazione e trasparenza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Tutti i pronostici di ogni partecipante saranno pubblicati sul sito ufficiale in formato PDF dopo la chiusura delle iscrizioni. La classifica è aggiornata in tempo reale.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La classifica aggiornata è visibile in tempo reale nella sezione dedicata del sito.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Il PDF con i pronostici di ogni giocatore (partite, classifica finale pronosticata e bonus) è consultabile pubblicamente da tutti i partecipanti.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sz w:val="22"/>
        </w:rPr>
        <w:t>I risultati ufficiali vengono inseriti dall'organizzatore dopo ogni giornata.</w:t>
      </w:r>
    </w:p>
    <w:p>
      <w:pPr>
        <w:spacing w:before="0" w:after="120"/>
      </w:pPr>
    </w:p>
    <w:p>
      <w:pPr>
        <w:spacing w:before="400" w:after="160"/>
        <w:pBdr>
          <w:bottom w:val="single" w:sz="4" w:space="4" w:color="1ABC9C"/>
        </w:pBdr>
      </w:pPr>
      <w:r>
        <w:rPr>
          <w:rFonts w:ascii="Calibri" w:hAnsi="Calibri"/>
          <w:b/>
          <w:i w:val="0"/>
          <w:color w:val="1A1A2E"/>
          <w:sz w:val="30"/>
        </w:rPr>
        <w:t>8. Disposizioni finali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L'organizzatore si riserva il diritto di apportare modifiche al regolamento in casi straordinari (es. sospensione del campionato, variazioni di format). Eventuali modifiche verranno comunicate a tutti i partecipanti tramite il gruppo WhatsApp.</w:t>
      </w:r>
    </w:p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1A1A2E"/>
          <w:sz w:val="22"/>
        </w:rPr>
        <w:t>Per qualsiasi dubbio o segnalazione contattare l'organizzatore via WhatsApp o email.</w:t>
      </w:r>
    </w:p>
    <w:p>
      <w:pPr>
        <w:spacing w:before="0" w:after="120"/>
      </w:pPr>
    </w:p>
    <w:p>
      <w:pPr>
        <w:spacing w:before="0" w:after="120"/>
      </w:pPr>
    </w:p>
    <w:p>
      <w:pPr>
        <w:spacing w:before="400"/>
        <w:jc w:val="center"/>
        <w:pBdr>
          <w:top w:val="single" w:sz="4" w:space="4" w:color="1ABC9C"/>
        </w:pBdr>
      </w:pPr>
      <w:r>
        <w:rPr>
          <w:rFonts w:ascii="Calibri" w:hAnsi="Calibri"/>
          <w:b w:val="0"/>
          <w:i/>
          <w:color w:val="6C757D"/>
          <w:sz w:val="18"/>
        </w:rPr>
        <w:t>Torneo Legazzi — gianlucafinetti821@gmail.com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