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8A6A1F"/>
          <w:spacing w:val="40"/>
          <w:sz w:val="20"/>
          <w:szCs w:val="20"/>
        </w:rPr>
        <w:t xml:space="preserve">SERBIAN HISTORICAL MUSEUM</w:t>
      </w:r>
    </w:p>
    <w:p>
      <w:pPr>
        <w:pStyle w:val="Title"/>
        <w:spacing w:after="80"/>
      </w:pPr>
      <w:r>
        <w:rPr>
          <w:rFonts w:ascii="Georgia" w:cs="Georgia" w:eastAsia="Georgia" w:hAnsi="Georgia"/>
          <w:b/>
          <w:bCs/>
          <w:color w:val="2B2118"/>
          <w:sz w:val="56"/>
          <w:szCs w:val="56"/>
        </w:rPr>
        <w:t xml:space="preserve">Audio guide script</w:t>
      </w:r>
    </w:p>
    <w:p>
      <w:pPr>
        <w:spacing w:after="200"/>
      </w:pPr>
      <w:r>
        <w:rPr>
          <w:rFonts w:ascii="Georgia" w:cs="Georgia" w:eastAsia="Georgia" w:hAnsi="Georgia"/>
          <w:i/>
          <w:iCs/>
          <w:color w:val="6B6258"/>
          <w:sz w:val="28"/>
          <w:szCs w:val="28"/>
        </w:rPr>
        <w:t xml:space="preserve">Waiting for the Permanent Exhibition · English narration</w:t>
      </w:r>
    </w:p>
    <w:p>
      <w:pPr>
        <w:pBdr>
          <w:top w:val="single" w:color="8A6A1F" w:sz="6" w:space="8"/>
        </w:pBdr>
        <w:spacing w:after="120"/>
      </w:pPr>
      <w:r>
        <w:rPr>
          <w:color w:val="6B6258"/>
          <w:sz w:val="22"/>
          <w:szCs w:val="22"/>
        </w:rPr>
        <w:t xml:space="preserve">13 recordings · about 1470 words · roughly 9:48 minutes at a calm pace (150 words per minute).</w:t>
      </w:r>
    </w:p>
    <w:p>
      <w:pPr>
        <w:spacing w:after="360"/>
      </w:pPr>
      <w:r>
        <w:rPr>
          <w:b/>
          <w:bCs/>
          <w:color w:val="2B2118"/>
          <w:sz w:val="22"/>
          <w:szCs w:val="22"/>
        </w:rPr>
        <w:t xml:space="preserve">Notes for the narrator. </w:t>
      </w:r>
      <w:r>
        <w:rPr>
          <w:color w:val="2B2118"/>
          <w:sz w:val="22"/>
          <w:szCs w:val="22"/>
        </w:rPr>
        <w:t xml:space="preserve">Read each section as a separate file, in the order shown. Say the title first, then pause for a moment before the text. Read “I” in a ruler’s name as “the First” (Peter the First, Alexander the First). A pronunciation guide is at the end. This is a draft translation and should be proofread before recording.</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Waiting for the Permanent Exhibition</w:t>
      </w:r>
    </w:p>
    <w:p>
      <w:pPr>
        <w:keepNext/>
        <w:spacing w:after="140"/>
      </w:pPr>
      <w:r>
        <w:rPr>
          <w:b/>
          <w:bCs/>
          <w:color w:val="8A6A1F"/>
          <w:sz w:val="18"/>
          <w:szCs w:val="18"/>
        </w:rPr>
        <w:t xml:space="preserve">File: exhibition-waiting.en.mp3   ·   207 words   ·   about 1:23</w:t>
      </w:r>
    </w:p>
    <w:p>
      <w:pPr>
        <w:spacing w:after="160" w:line="340"/>
      </w:pPr>
      <w:r>
        <w:rPr>
          <w:rFonts w:ascii="Georgia" w:cs="Georgia" w:eastAsia="Georgia" w:hAnsi="Georgia"/>
          <w:color w:val="2B2118"/>
          <w:sz w:val="24"/>
          <w:szCs w:val="24"/>
        </w:rPr>
        <w:t xml:space="preserve">With the exhibition “Waiting for the Permanent Exhibition”, the Serbian Historical Museum presents some of the most valuable objects from its collections. Conceived as an introduction to individual sections of the future permanent display, it uses selected objects to show different aspects of Serbian history, without claiming to cover every theme the permanent exhibition will address.</w:t>
      </w:r>
    </w:p>
    <w:p>
      <w:pPr>
        <w:spacing w:after="160" w:line="340"/>
      </w:pPr>
      <w:r>
        <w:rPr>
          <w:rFonts w:ascii="Georgia" w:cs="Georgia" w:eastAsia="Georgia" w:hAnsi="Georgia"/>
          <w:color w:val="2B2118"/>
          <w:sz w:val="24"/>
          <w:szCs w:val="24"/>
        </w:rPr>
        <w:t xml:space="preserve">In the side halls you will see objects that belonged to rulers and members of the Karađorđević and Obrenović dynasties. The emergence and rise of both dynasties are closely linked with the struggle for liberation from Ottoman rule and for the restoration of Serbian statehood in the 19th century.</w:t>
      </w:r>
    </w:p>
    <w:p>
      <w:pPr>
        <w:spacing w:after="160" w:line="340"/>
      </w:pPr>
      <w:r>
        <w:rPr>
          <w:rFonts w:ascii="Georgia" w:cs="Georgia" w:eastAsia="Georgia" w:hAnsi="Georgia"/>
          <w:color w:val="2B2118"/>
          <w:sz w:val="24"/>
          <w:szCs w:val="24"/>
        </w:rPr>
        <w:t xml:space="preserve">Taken as a whole, the objects from the legacy of the two ruling families bear witness to the time in which they were made, to the lives of their owners and to the role they played in the political and cultural history of Serbia. Clothing, jewellery, uniforms, weapons, works of art, furniture and everyday objects reveal different aspects of a ruler’s life, from representation and the affirmation of social standing to personal habits and tastes. Their materials, craftsmanship, origin and manner of use provide valuable information about the era and society in which they came into being.</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10  ·  Left wing — Karađorđević dynasty</w:t>
      </w:r>
    </w:p>
    <w:p>
      <w:pPr>
        <w:keepNext/>
        <w:spacing w:after="140"/>
      </w:pPr>
      <w:r>
        <w:rPr>
          <w:b/>
          <w:bCs/>
          <w:color w:val="8A6A1F"/>
          <w:sz w:val="18"/>
          <w:szCs w:val="18"/>
        </w:rPr>
        <w:t xml:space="preserve">File: hall-left.en.mp3   ·   139 words   ·   about 0:56   ·   Plaque 10</w:t>
      </w:r>
    </w:p>
    <w:p>
      <w:pPr>
        <w:spacing w:after="160" w:line="340"/>
      </w:pPr>
      <w:r>
        <w:rPr>
          <w:rFonts w:ascii="Georgia" w:cs="Georgia" w:eastAsia="Georgia" w:hAnsi="Georgia"/>
          <w:color w:val="2B2118"/>
          <w:sz w:val="24"/>
          <w:szCs w:val="24"/>
        </w:rPr>
        <w:t xml:space="preserve">The left hall is devoted to the Karađorđević dynasty, whose history is closely bound up with the struggle for liberation and the restoration of Serbian statehood, the development of modern Serbia and the creation of the Yugoslav state.</w:t>
      </w:r>
    </w:p>
    <w:p>
      <w:pPr>
        <w:spacing w:after="160" w:line="340"/>
      </w:pPr>
      <w:r>
        <w:rPr>
          <w:rFonts w:ascii="Georgia" w:cs="Georgia" w:eastAsia="Georgia" w:hAnsi="Georgia"/>
          <w:color w:val="2B2118"/>
          <w:sz w:val="24"/>
          <w:szCs w:val="24"/>
        </w:rPr>
        <w:t xml:space="preserve">The dynasty’s story is marked by the outbreak of the First Serbian Uprising in 1804 under Karađorđe Petrović, the family’s return to the throne in 1842 under Prince Alexander Karađorđević, and the restoration of its rule in 1903, when King Peter I took the throne. In the following decades Serbia expanded its territory through victories in the Balkan Wars and then, despite enormous human and material losses in the First World War, became the centre of the unification of the South Slavs and of the creation of the Kingdom of Serbs, Croats and Slovenes in 1918.</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11  ·  Coronation regalia of Peter I Karađorđević</w:t>
      </w:r>
    </w:p>
    <w:p>
      <w:pPr>
        <w:keepNext/>
        <w:spacing w:after="140"/>
      </w:pPr>
      <w:r>
        <w:rPr>
          <w:b/>
          <w:bCs/>
          <w:color w:val="8A6A1F"/>
          <w:sz w:val="18"/>
          <w:szCs w:val="18"/>
        </w:rPr>
        <w:t xml:space="preserve">File: regalia.en.mp3   ·   115 words   ·   about 0:46   ·   Plaque 11</w:t>
      </w:r>
    </w:p>
    <w:p>
      <w:pPr>
        <w:spacing w:after="160" w:line="340"/>
      </w:pPr>
      <w:r>
        <w:rPr>
          <w:rFonts w:ascii="Georgia" w:cs="Georgia" w:eastAsia="Georgia" w:hAnsi="Georgia"/>
          <w:color w:val="2B2118"/>
          <w:sz w:val="24"/>
          <w:szCs w:val="24"/>
        </w:rPr>
        <w:t xml:space="preserve">The crown, sceptre, orb, porphyra (mantle) and mantle clasp of King Peter I Karađorđević are the only surviving Serbian royal regalia. They were made for the coronation of King Peter I in 1904, during the celebration of the centenary of the First Serbian Uprising, which had been led by his grandfather Karađorđe Petrović. The coronation, unique in the modern history of Serbia, linked the restored monarchy with the beginnings of the modern Serbian state.</w:t>
      </w:r>
    </w:p>
    <w:p>
      <w:pPr>
        <w:spacing w:after="160" w:line="340"/>
      </w:pPr>
      <w:r>
        <w:rPr>
          <w:rFonts w:ascii="Georgia" w:cs="Georgia" w:eastAsia="Georgia" w:hAnsi="Georgia"/>
          <w:color w:val="2B2118"/>
          <w:sz w:val="24"/>
          <w:szCs w:val="24"/>
        </w:rPr>
        <w:t xml:space="preserve">The crown holds a special place among the regalia: it was cast from the bronze of Karađorđe’s cannon, creating a direct material link with the insurgents’ struggle and with the legacy of the dynasty’s founder.</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12  ·  The white-hilted yatagan of Karađorđe Petrović</w:t>
      </w:r>
    </w:p>
    <w:p>
      <w:pPr>
        <w:keepNext/>
        <w:spacing w:after="140"/>
      </w:pPr>
      <w:r>
        <w:rPr>
          <w:b/>
          <w:bCs/>
          <w:color w:val="8A6A1F"/>
          <w:sz w:val="18"/>
          <w:szCs w:val="18"/>
        </w:rPr>
        <w:t xml:space="preserve">File: yatagan.en.mp3   ·   91 words   ·   about 0:36   ·   Plaque 12</w:t>
      </w:r>
    </w:p>
    <w:p>
      <w:pPr>
        <w:spacing w:after="160" w:line="340"/>
      </w:pPr>
      <w:r>
        <w:rPr>
          <w:rFonts w:ascii="Georgia" w:cs="Georgia" w:eastAsia="Georgia" w:hAnsi="Georgia"/>
          <w:color w:val="2B2118"/>
          <w:sz w:val="24"/>
          <w:szCs w:val="24"/>
        </w:rPr>
        <w:t xml:space="preserve">Dating from 1810 or 1811, this yatagan is among the most significant objects of the era of the First Serbian Uprising. Besides having belonged to Karađorđe, it stands out for its exceptional craftsmanship. The bone hilt, the blade and especially the scabbard are decorated with coral and silver ornament worked in repoussé, inlay and granulation. According to the family tradition of the Borisavljević family of Nova Varoš, Karađorđe gave the yatagan, together with other weapons, to a family with whom he was bound by friendship.</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13  ·  Prince Alexander’s travelling medicine chests</w:t>
      </w:r>
    </w:p>
    <w:p>
      <w:pPr>
        <w:keepNext/>
        <w:spacing w:after="140"/>
      </w:pPr>
      <w:r>
        <w:rPr>
          <w:b/>
          <w:bCs/>
          <w:color w:val="8A6A1F"/>
          <w:sz w:val="18"/>
          <w:szCs w:val="18"/>
        </w:rPr>
        <w:t xml:space="preserve">File: medicine-chests.en.mp3   ·   88 words   ·   about 0:35   ·   Plaque 13</w:t>
      </w:r>
    </w:p>
    <w:p>
      <w:pPr>
        <w:spacing w:after="160" w:line="340"/>
      </w:pPr>
      <w:r>
        <w:rPr>
          <w:rFonts w:ascii="Georgia" w:cs="Georgia" w:eastAsia="Georgia" w:hAnsi="Georgia"/>
          <w:color w:val="2B2118"/>
          <w:sz w:val="24"/>
          <w:szCs w:val="24"/>
        </w:rPr>
        <w:t xml:space="preserve">The two lavish travelling medicine chests of Prince Alexander Karađorđević were made in the workshop of the Prague firm of Wenzel Batka, known for producing chemical and laboratory instruments. The wooden cases are decorated with mother-of-pearl and silver inlay in floral motifs, and the state coat of arms is engraved in the central silver panel. The rich decoration and fine artistic finish point to the ceremonial purpose of these objects and to the importance they had in the court culture of nineteenth-century rulers.</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14  ·  Death mask of King Alexander I Karađorđević</w:t>
      </w:r>
    </w:p>
    <w:p>
      <w:pPr>
        <w:keepNext/>
        <w:spacing w:after="140"/>
      </w:pPr>
      <w:r>
        <w:rPr>
          <w:b/>
          <w:bCs/>
          <w:color w:val="8A6A1F"/>
          <w:sz w:val="18"/>
          <w:szCs w:val="18"/>
        </w:rPr>
        <w:t xml:space="preserve">File: death-mask.en.mp3   ·   94 words   ·   about 0:38   ·   Plaque 14</w:t>
      </w:r>
    </w:p>
    <w:p>
      <w:pPr>
        <w:spacing w:after="160" w:line="340"/>
      </w:pPr>
      <w:r>
        <w:rPr>
          <w:rFonts w:ascii="Georgia" w:cs="Georgia" w:eastAsia="Georgia" w:hAnsi="Georgia"/>
          <w:color w:val="2B2118"/>
          <w:sz w:val="24"/>
          <w:szCs w:val="24"/>
        </w:rPr>
        <w:t xml:space="preserve">After the assassination of King Alexander I in Marseille, the French sculptor François Carli made death masks of the king and of the French minister Louis Barthou, taking casts of their faces on the night of 9–10 October 1934. At least three copies of King Alexander’s mask are known: one is kept in the Museum of Marseille, another, in bronze, in the Serbian Historical Museum, and a stone one, made in 1935 by the sculptor Maxime Real del Sarte, in the Museum of the Serbian Orthodox Church.</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20  ·  Right wing — Obrenović dynasty</w:t>
      </w:r>
    </w:p>
    <w:p>
      <w:pPr>
        <w:keepNext/>
        <w:spacing w:after="140"/>
      </w:pPr>
      <w:r>
        <w:rPr>
          <w:b/>
          <w:bCs/>
          <w:color w:val="8A6A1F"/>
          <w:sz w:val="18"/>
          <w:szCs w:val="18"/>
        </w:rPr>
        <w:t xml:space="preserve">File: hall-right.en.mp3   ·   97 words   ·   about 0:39   ·   Plaque 20</w:t>
      </w:r>
    </w:p>
    <w:p>
      <w:pPr>
        <w:spacing w:after="160" w:line="340"/>
      </w:pPr>
      <w:r>
        <w:rPr>
          <w:rFonts w:ascii="Georgia" w:cs="Georgia" w:eastAsia="Georgia" w:hAnsi="Georgia"/>
          <w:color w:val="2B2118"/>
          <w:sz w:val="24"/>
          <w:szCs w:val="24"/>
        </w:rPr>
        <w:t xml:space="preserve">The right hall is devoted to Serbia’s second ruling dynasty, the Obrenović. During 72 years in power they contributed significantly to shaping the Serbian state and to its gradual inclusion in European political and cultural life: from winning autonomy and laying the foundations of state institutions under Prince Miloš, through the liberation of towns from Ottoman rule under Prince Michael, to internationally recognised independence and the proclamation of Serbia as a kingdom under Prince, and later King, Milan. Under King Alexander Obrenović the development of state institutions continued amid acute political instability.</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21  ·  Jewellery from the Obrenović legacy</w:t>
      </w:r>
    </w:p>
    <w:p>
      <w:pPr>
        <w:keepNext/>
        <w:spacing w:after="140"/>
      </w:pPr>
      <w:r>
        <w:rPr>
          <w:b/>
          <w:bCs/>
          <w:color w:val="8A6A1F"/>
          <w:sz w:val="18"/>
          <w:szCs w:val="18"/>
        </w:rPr>
        <w:t xml:space="preserve">File: jewellery.en.mp3   ·   98 words   ·   about 0:39   ·   Plaque 21</w:t>
      </w:r>
    </w:p>
    <w:p>
      <w:pPr>
        <w:spacing w:after="160" w:line="340"/>
      </w:pPr>
      <w:r>
        <w:rPr>
          <w:rFonts w:ascii="Georgia" w:cs="Georgia" w:eastAsia="Georgia" w:hAnsi="Georgia"/>
          <w:color w:val="2B2118"/>
          <w:sz w:val="24"/>
          <w:szCs w:val="24"/>
        </w:rPr>
        <w:t xml:space="preserve">Among the many objects from this ruling family’s legacy, a collection of jewellery stands out. Prince Miloš commissioned it in Vienna during his first reign, through the brothers Herman and Aleksa Simić (the latter was minister of finance). Of the fifty-five items entered in the State Council’s inventory of 1842, only a third survive today. The chains, crosses, rings and clasps are notable for simplicity and restraint in design and choice of materials, while the bracelets are a characteristic example of the eclectic stylistic solutions common in European applied arts of the time.</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22  ·  Dimitrije Avramović, Portrait of the Young Prince Michael</w:t>
      </w:r>
    </w:p>
    <w:p>
      <w:pPr>
        <w:keepNext/>
        <w:spacing w:after="140"/>
      </w:pPr>
      <w:r>
        <w:rPr>
          <w:b/>
          <w:bCs/>
          <w:color w:val="8A6A1F"/>
          <w:sz w:val="18"/>
          <w:szCs w:val="18"/>
        </w:rPr>
        <w:t xml:space="preserve">File: prince-mihailo.en.mp3   ·   97 words   ·   about 0:39   ·   Plaque 22</w:t>
      </w:r>
    </w:p>
    <w:p>
      <w:pPr>
        <w:spacing w:after="160" w:line="340"/>
      </w:pPr>
      <w:r>
        <w:rPr>
          <w:rFonts w:ascii="Georgia" w:cs="Georgia" w:eastAsia="Georgia" w:hAnsi="Georgia"/>
          <w:color w:val="2B2118"/>
          <w:sz w:val="24"/>
          <w:szCs w:val="24"/>
        </w:rPr>
        <w:t xml:space="preserve">Recently discovered and almost unknown to the public, this portrait is the first official portrait of a ruler — the young Prince Michael, who came to the Serbian throne in 1839 after the death of his older brother, Prince Milan. Painted during his brief first reign, it shows Prince Michael in his youth, without moustache or beard, which sets it apart from other surviving images of him. In style it belongs to the Biedermeier painting of Central Europe, from an era when European art was strongly influenced by Romanticism.</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23  ·  A lock of Princess Ljubica’s hair</w:t>
      </w:r>
    </w:p>
    <w:p>
      <w:pPr>
        <w:keepNext/>
        <w:spacing w:after="140"/>
      </w:pPr>
      <w:r>
        <w:rPr>
          <w:b/>
          <w:bCs/>
          <w:color w:val="8A6A1F"/>
          <w:sz w:val="18"/>
          <w:szCs w:val="18"/>
        </w:rPr>
        <w:t xml:space="preserve">File: ljubica-hair.en.mp3   ·   91 words   ·   about 0:36   ·   Plaque 23</w:t>
      </w:r>
    </w:p>
    <w:p>
      <w:pPr>
        <w:spacing w:after="160" w:line="340"/>
      </w:pPr>
      <w:r>
        <w:rPr>
          <w:rFonts w:ascii="Georgia" w:cs="Georgia" w:eastAsia="Georgia" w:hAnsi="Georgia"/>
          <w:color w:val="2B2118"/>
          <w:sz w:val="24"/>
          <w:szCs w:val="24"/>
        </w:rPr>
        <w:t xml:space="preserve">A lock of hair, wrapped in a violet ribbon and placed in a colourful round box, is accompanied by a note reading: “Hair of Princess Ljubica, wife of Miloš I Obrenović, mother of Prince Michael M. Obrenović.” On the back of the box is an inscription attributed to Prince Michael: “Hair of my late mother.” It confirms that the lock was kept as a memento of his mother. The box was found among the belongings of Vuk Karadžić, the great reformer of the Serbian language.</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24  ·  Order of Miloš the Great, 4th class</w:t>
      </w:r>
    </w:p>
    <w:p>
      <w:pPr>
        <w:keepNext/>
        <w:spacing w:after="140"/>
      </w:pPr>
      <w:r>
        <w:rPr>
          <w:b/>
          <w:bCs/>
          <w:color w:val="8A6A1F"/>
          <w:sz w:val="18"/>
          <w:szCs w:val="18"/>
        </w:rPr>
        <w:t xml:space="preserve">File: order-milos.en.mp3   ·   107 words   ·   about 0:43   ·   Plaque 24</w:t>
      </w:r>
    </w:p>
    <w:p>
      <w:pPr>
        <w:spacing w:after="160" w:line="340"/>
      </w:pPr>
      <w:r>
        <w:rPr>
          <w:rFonts w:ascii="Georgia" w:cs="Georgia" w:eastAsia="Georgia" w:hAnsi="Georgia"/>
          <w:color w:val="2B2118"/>
          <w:sz w:val="24"/>
          <w:szCs w:val="24"/>
        </w:rPr>
        <w:t xml:space="preserve">The Order of Miloš the Great was established by King Alexander Obrenović in 1898 on the fortieth anniversary of the Saint Andrew’s Assembly and in memory of Prince Miloš Obrenović. It was awarded for special services to the Obrenović dynasty. In rank it stood below the Order of Saint Prince Lazar, reserved exclusively for the monarch and the heir to the throne, but above the Order of the White Eagle. It was abolished in 1903, when King Peter I Karađorđević took the throne. Only 255 were ever awarded, which makes it one of the rarest and most valuable decorations today.</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25  ·  Queen Draga’s monogram</w:t>
      </w:r>
    </w:p>
    <w:p>
      <w:pPr>
        <w:keepNext/>
        <w:spacing w:after="140"/>
      </w:pPr>
      <w:r>
        <w:rPr>
          <w:b/>
          <w:bCs/>
          <w:color w:val="8A6A1F"/>
          <w:sz w:val="18"/>
          <w:szCs w:val="18"/>
        </w:rPr>
        <w:t xml:space="preserve">File: draga-monogram.en.mp3   ·   84 words   ·   about 0:34   ·   Plaque 25</w:t>
      </w:r>
    </w:p>
    <w:p>
      <w:pPr>
        <w:spacing w:after="160" w:line="340"/>
      </w:pPr>
      <w:r>
        <w:rPr>
          <w:rFonts w:ascii="Georgia" w:cs="Georgia" w:eastAsia="Georgia" w:hAnsi="Georgia"/>
          <w:color w:val="2B2118"/>
          <w:sz w:val="24"/>
          <w:szCs w:val="24"/>
        </w:rPr>
        <w:t xml:space="preserve">King Alexander Obrenović personally commissioned the monogram in 1903 from Miša Goldštajn, a well-known Belgrade engraver and master of artistic crafts, for his wife, Queen Draga. Because of the May Coup, in which the couple were killed, it was never presented. For a long time it was believed to be lost for ever. For decades it lay in private collections abroad, out of reach of the wider public. It was purchased in 2021 and returned to the country through diplomatic efforts.</w:t>
      </w:r>
    </w:p>
    <w:p>
      <w:pPr>
        <w:pStyle w:val="Heading1"/>
        <w:keepNext/>
        <w:pBdr>
          <w:bottom w:val="single" w:color="D9CDB4" w:sz="4" w:space="4"/>
        </w:pBdr>
        <w:spacing w:after="60" w:before="360"/>
      </w:pPr>
      <w:r>
        <w:rPr>
          <w:rFonts w:ascii="Georgia" w:cs="Georgia" w:eastAsia="Georgia" w:hAnsi="Georgia"/>
          <w:b/>
          <w:bCs/>
          <w:color w:val="2B2118"/>
          <w:sz w:val="32"/>
          <w:szCs w:val="32"/>
        </w:rPr>
        <w:t xml:space="preserve">30  ·  Medieval Serbia</w:t>
      </w:r>
    </w:p>
    <w:p>
      <w:pPr>
        <w:keepNext/>
        <w:spacing w:after="140"/>
      </w:pPr>
      <w:r>
        <w:rPr>
          <w:b/>
          <w:bCs/>
          <w:color w:val="8A6A1F"/>
          <w:sz w:val="18"/>
          <w:szCs w:val="18"/>
        </w:rPr>
        <w:t xml:space="preserve">File: hall-medieval.en.mp3   ·   232 words   ·   about 1:33   ·   Plaque 30</w:t>
      </w:r>
    </w:p>
    <w:p>
      <w:pPr>
        <w:spacing w:after="160" w:line="340"/>
      </w:pPr>
      <w:r>
        <w:rPr>
          <w:rFonts w:ascii="Georgia" w:cs="Georgia" w:eastAsia="Georgia" w:hAnsi="Georgia"/>
          <w:color w:val="2B2118"/>
          <w:sz w:val="24"/>
          <w:szCs w:val="24"/>
        </w:rPr>
        <w:t xml:space="preserve">This part of the exhibition presents selected episodes of medieval Serbian history — from the early Serbian states to the Serbian Despotate, the last medieval Serbian state.</w:t>
      </w:r>
    </w:p>
    <w:p>
      <w:pPr>
        <w:spacing w:after="160" w:line="340"/>
      </w:pPr>
      <w:r>
        <w:rPr>
          <w:rFonts w:ascii="Georgia" w:cs="Georgia" w:eastAsia="Georgia" w:hAnsi="Georgia"/>
          <w:color w:val="2B2118"/>
          <w:sz w:val="24"/>
          <w:szCs w:val="24"/>
        </w:rPr>
        <w:t xml:space="preserve">It begins with the early Serbian states (7th–11th centuries) and rulers such as Saint John Vladimir, one of the first Serbian saints, and Michael Vojislavljević, the first Serbian ruler to bear the royal title. The rise of the Nemanjić dynasty (12th–14th centuries) was marked by the strengthening and territorial growth of the Serbian state, the royal title obtained in 1217, the founding of the autocephalous Serbian Church in 1219 and the proclamation of the Serbian Empire in the 14th century.</w:t>
      </w:r>
    </w:p>
    <w:p>
      <w:pPr>
        <w:spacing w:after="160" w:line="340"/>
      </w:pPr>
      <w:r>
        <w:rPr>
          <w:rFonts w:ascii="Georgia" w:cs="Georgia" w:eastAsia="Georgia" w:hAnsi="Georgia"/>
          <w:color w:val="2B2118"/>
          <w:sz w:val="24"/>
          <w:szCs w:val="24"/>
        </w:rPr>
        <w:t xml:space="preserve">The Battle of Kosovo (1389) was a major turning point in medieval Serbian history. Its legacy grew into one of the central places of Serbian collective memory, linked with ideas of sacrifice, loyalty and the preservation of spiritual values.</w:t>
      </w:r>
    </w:p>
    <w:p>
      <w:pPr>
        <w:spacing w:after="160" w:line="340"/>
      </w:pPr>
      <w:r>
        <w:rPr>
          <w:rFonts w:ascii="Georgia" w:cs="Georgia" w:eastAsia="Georgia" w:hAnsi="Georgia"/>
          <w:color w:val="2B2118"/>
          <w:sz w:val="24"/>
          <w:szCs w:val="24"/>
        </w:rPr>
        <w:t xml:space="preserve">The final section is devoted to the Serbian Despotate (1402–1459) and the ruling dynasties of Lazarević and Branković. In a period marked by Ottoman conquests, the Despotate preserved and continued the political, cultural and spiritual traditions of medieval Serbia.</w:t>
      </w:r>
    </w:p>
    <w:p>
      <w:pPr>
        <w:spacing w:after="160" w:line="340"/>
      </w:pPr>
      <w:r>
        <w:rPr>
          <w:rFonts w:ascii="Georgia" w:cs="Georgia" w:eastAsia="Georgia" w:hAnsi="Georgia"/>
          <w:color w:val="2B2118"/>
          <w:sz w:val="24"/>
          <w:szCs w:val="24"/>
        </w:rPr>
        <w:t xml:space="preserve">The picture of medieval Serbia is completed by reconstructions of rulers’ crowns and garments, made on the basis of historical sources. They give a clearer idea of how rulers looked and of the symbols of their dignity in different periods of the medieval Serbian state.</w:t>
      </w:r>
    </w:p>
    <w:p>
      <w:pPr>
        <w:pStyle w:val="Heading1"/>
        <w:pageBreakBefore/>
        <w:spacing w:after="160"/>
      </w:pPr>
      <w:r>
        <w:rPr>
          <w:rFonts w:ascii="Georgia" w:cs="Georgia" w:eastAsia="Georgia" w:hAnsi="Georgia"/>
          <w:b/>
          <w:bCs/>
          <w:color w:val="2B2118"/>
          <w:sz w:val="32"/>
          <w:szCs w:val="32"/>
        </w:rPr>
        <w:t xml:space="preserve">Pronunciation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F1E8D3" w:color="auto" w:val="clear"/>
            <w:tcMar>
              <w:top w:type="dxa" w:w="60"/>
              <w:left w:type="dxa" w:w="120"/>
              <w:bottom w:type="dxa" w:w="60"/>
              <w:right w:type="dxa" w:w="120"/>
            </w:tcMar>
          </w:tcPr>
          <w:p>
            <w:r>
              <w:rPr>
                <w:b/>
                <w:bCs/>
                <w:color w:val="2B2118"/>
                <w:sz w:val="22"/>
                <w:szCs w:val="22"/>
              </w:rPr>
              <w:t xml:space="preserve">Name</w:t>
            </w:r>
          </w:p>
        </w:tc>
        <w:tc>
          <w:tcPr>
            <w:tcW w:type="dxa" w:w="5626"/>
            <w:shd w:fill="F1E8D3" w:color="auto" w:val="clear"/>
            <w:tcMar>
              <w:top w:type="dxa" w:w="60"/>
              <w:left w:type="dxa" w:w="120"/>
              <w:bottom w:type="dxa" w:w="60"/>
              <w:right w:type="dxa" w:w="120"/>
            </w:tcMar>
          </w:tcPr>
          <w:p>
            <w:r>
              <w:rPr>
                <w:b/>
                <w:bCs/>
                <w:color w:val="2B2118"/>
                <w:sz w:val="22"/>
                <w:szCs w:val="22"/>
              </w:rPr>
              <w:t xml:space="preserve">Say it like</w:t>
            </w:r>
          </w:p>
        </w:tc>
      </w:tr>
      <w:tr>
        <w:trPr>
          <w:cantSplit/>
        </w:trPr>
        <w:tc>
          <w:tcPr>
            <w:tcW w:type="dxa" w:w="3400"/>
            <w:tcMar>
              <w:top w:type="dxa" w:w="60"/>
              <w:left w:type="dxa" w:w="120"/>
              <w:bottom w:type="dxa" w:w="60"/>
              <w:right w:type="dxa" w:w="120"/>
            </w:tcMar>
          </w:tcPr>
          <w:p>
            <w:r>
              <w:rPr>
                <w:b/>
                <w:bCs/>
                <w:color w:val="2B2118"/>
                <w:sz w:val="22"/>
                <w:szCs w:val="22"/>
              </w:rPr>
              <w:t xml:space="preserve">Karađorđe</w:t>
            </w:r>
          </w:p>
        </w:tc>
        <w:tc>
          <w:tcPr>
            <w:tcW w:type="dxa" w:w="5626"/>
            <w:tcMar>
              <w:top w:type="dxa" w:w="60"/>
              <w:left w:type="dxa" w:w="120"/>
              <w:bottom w:type="dxa" w:w="60"/>
              <w:right w:type="dxa" w:w="120"/>
            </w:tcMar>
          </w:tcPr>
          <w:p>
            <w:r>
              <w:rPr>
                <w:b w:val="false"/>
                <w:bCs w:val="false"/>
                <w:color w:val="2B2118"/>
                <w:sz w:val="22"/>
                <w:szCs w:val="22"/>
              </w:rPr>
              <w:t xml:space="preserve">KAH-rah-JOR-jeh</w:t>
            </w:r>
          </w:p>
        </w:tc>
      </w:tr>
      <w:tr>
        <w:trPr>
          <w:cantSplit/>
        </w:trPr>
        <w:tc>
          <w:tcPr>
            <w:tcW w:type="dxa" w:w="3400"/>
            <w:tcMar>
              <w:top w:type="dxa" w:w="60"/>
              <w:left w:type="dxa" w:w="120"/>
              <w:bottom w:type="dxa" w:w="60"/>
              <w:right w:type="dxa" w:w="120"/>
            </w:tcMar>
          </w:tcPr>
          <w:p>
            <w:r>
              <w:rPr>
                <w:b/>
                <w:bCs/>
                <w:color w:val="2B2118"/>
                <w:sz w:val="22"/>
                <w:szCs w:val="22"/>
              </w:rPr>
              <w:t xml:space="preserve">Karađorđević</w:t>
            </w:r>
          </w:p>
        </w:tc>
        <w:tc>
          <w:tcPr>
            <w:tcW w:type="dxa" w:w="5626"/>
            <w:tcMar>
              <w:top w:type="dxa" w:w="60"/>
              <w:left w:type="dxa" w:w="120"/>
              <w:bottom w:type="dxa" w:w="60"/>
              <w:right w:type="dxa" w:w="120"/>
            </w:tcMar>
          </w:tcPr>
          <w:p>
            <w:r>
              <w:rPr>
                <w:b w:val="false"/>
                <w:bCs w:val="false"/>
                <w:color w:val="2B2118"/>
                <w:sz w:val="22"/>
                <w:szCs w:val="22"/>
              </w:rPr>
              <w:t xml:space="preserve">kah-rah-JOR-jeh-vitch</w:t>
            </w:r>
          </w:p>
        </w:tc>
      </w:tr>
      <w:tr>
        <w:trPr>
          <w:cantSplit/>
        </w:trPr>
        <w:tc>
          <w:tcPr>
            <w:tcW w:type="dxa" w:w="3400"/>
            <w:tcMar>
              <w:top w:type="dxa" w:w="60"/>
              <w:left w:type="dxa" w:w="120"/>
              <w:bottom w:type="dxa" w:w="60"/>
              <w:right w:type="dxa" w:w="120"/>
            </w:tcMar>
          </w:tcPr>
          <w:p>
            <w:r>
              <w:rPr>
                <w:b/>
                <w:bCs/>
                <w:color w:val="2B2118"/>
                <w:sz w:val="22"/>
                <w:szCs w:val="22"/>
              </w:rPr>
              <w:t xml:space="preserve">Obrenović</w:t>
            </w:r>
          </w:p>
        </w:tc>
        <w:tc>
          <w:tcPr>
            <w:tcW w:type="dxa" w:w="5626"/>
            <w:tcMar>
              <w:top w:type="dxa" w:w="60"/>
              <w:left w:type="dxa" w:w="120"/>
              <w:bottom w:type="dxa" w:w="60"/>
              <w:right w:type="dxa" w:w="120"/>
            </w:tcMar>
          </w:tcPr>
          <w:p>
            <w:r>
              <w:rPr>
                <w:b w:val="false"/>
                <w:bCs w:val="false"/>
                <w:color w:val="2B2118"/>
                <w:sz w:val="22"/>
                <w:szCs w:val="22"/>
              </w:rPr>
              <w:t xml:space="preserve">oh-BREH-noh-vitch</w:t>
            </w:r>
          </w:p>
        </w:tc>
      </w:tr>
      <w:tr>
        <w:trPr>
          <w:cantSplit/>
        </w:trPr>
        <w:tc>
          <w:tcPr>
            <w:tcW w:type="dxa" w:w="3400"/>
            <w:tcMar>
              <w:top w:type="dxa" w:w="60"/>
              <w:left w:type="dxa" w:w="120"/>
              <w:bottom w:type="dxa" w:w="60"/>
              <w:right w:type="dxa" w:w="120"/>
            </w:tcMar>
          </w:tcPr>
          <w:p>
            <w:r>
              <w:rPr>
                <w:b/>
                <w:bCs/>
                <w:color w:val="2B2118"/>
                <w:sz w:val="22"/>
                <w:szCs w:val="22"/>
              </w:rPr>
              <w:t xml:space="preserve">Miloš</w:t>
            </w:r>
          </w:p>
        </w:tc>
        <w:tc>
          <w:tcPr>
            <w:tcW w:type="dxa" w:w="5626"/>
            <w:tcMar>
              <w:top w:type="dxa" w:w="60"/>
              <w:left w:type="dxa" w:w="120"/>
              <w:bottom w:type="dxa" w:w="60"/>
              <w:right w:type="dxa" w:w="120"/>
            </w:tcMar>
          </w:tcPr>
          <w:p>
            <w:r>
              <w:rPr>
                <w:b w:val="false"/>
                <w:bCs w:val="false"/>
                <w:color w:val="2B2118"/>
                <w:sz w:val="22"/>
                <w:szCs w:val="22"/>
              </w:rPr>
              <w:t xml:space="preserve">MEE-losh</w:t>
            </w:r>
          </w:p>
        </w:tc>
      </w:tr>
      <w:tr>
        <w:trPr>
          <w:cantSplit/>
        </w:trPr>
        <w:tc>
          <w:tcPr>
            <w:tcW w:type="dxa" w:w="3400"/>
            <w:tcMar>
              <w:top w:type="dxa" w:w="60"/>
              <w:left w:type="dxa" w:w="120"/>
              <w:bottom w:type="dxa" w:w="60"/>
              <w:right w:type="dxa" w:w="120"/>
            </w:tcMar>
          </w:tcPr>
          <w:p>
            <w:r>
              <w:rPr>
                <w:b/>
                <w:bCs/>
                <w:color w:val="2B2118"/>
                <w:sz w:val="22"/>
                <w:szCs w:val="22"/>
              </w:rPr>
              <w:t xml:space="preserve">Mihailo (Michael)</w:t>
            </w:r>
          </w:p>
        </w:tc>
        <w:tc>
          <w:tcPr>
            <w:tcW w:type="dxa" w:w="5626"/>
            <w:tcMar>
              <w:top w:type="dxa" w:w="60"/>
              <w:left w:type="dxa" w:w="120"/>
              <w:bottom w:type="dxa" w:w="60"/>
              <w:right w:type="dxa" w:w="120"/>
            </w:tcMar>
          </w:tcPr>
          <w:p>
            <w:r>
              <w:rPr>
                <w:b w:val="false"/>
                <w:bCs w:val="false"/>
                <w:color w:val="2B2118"/>
                <w:sz w:val="22"/>
                <w:szCs w:val="22"/>
              </w:rPr>
              <w:t xml:space="preserve">mee-HAH-ee-loh</w:t>
            </w:r>
          </w:p>
        </w:tc>
      </w:tr>
      <w:tr>
        <w:trPr>
          <w:cantSplit/>
        </w:trPr>
        <w:tc>
          <w:tcPr>
            <w:tcW w:type="dxa" w:w="3400"/>
            <w:tcMar>
              <w:top w:type="dxa" w:w="60"/>
              <w:left w:type="dxa" w:w="120"/>
              <w:bottom w:type="dxa" w:w="60"/>
              <w:right w:type="dxa" w:w="120"/>
            </w:tcMar>
          </w:tcPr>
          <w:p>
            <w:r>
              <w:rPr>
                <w:b/>
                <w:bCs/>
                <w:color w:val="2B2118"/>
                <w:sz w:val="22"/>
                <w:szCs w:val="22"/>
              </w:rPr>
              <w:t xml:space="preserve">Draga</w:t>
            </w:r>
          </w:p>
        </w:tc>
        <w:tc>
          <w:tcPr>
            <w:tcW w:type="dxa" w:w="5626"/>
            <w:tcMar>
              <w:top w:type="dxa" w:w="60"/>
              <w:left w:type="dxa" w:w="120"/>
              <w:bottom w:type="dxa" w:w="60"/>
              <w:right w:type="dxa" w:w="120"/>
            </w:tcMar>
          </w:tcPr>
          <w:p>
            <w:r>
              <w:rPr>
                <w:b w:val="false"/>
                <w:bCs w:val="false"/>
                <w:color w:val="2B2118"/>
                <w:sz w:val="22"/>
                <w:szCs w:val="22"/>
              </w:rPr>
              <w:t xml:space="preserve">DRAH-gah</w:t>
            </w:r>
          </w:p>
        </w:tc>
      </w:tr>
      <w:tr>
        <w:trPr>
          <w:cantSplit/>
        </w:trPr>
        <w:tc>
          <w:tcPr>
            <w:tcW w:type="dxa" w:w="3400"/>
            <w:tcMar>
              <w:top w:type="dxa" w:w="60"/>
              <w:left w:type="dxa" w:w="120"/>
              <w:bottom w:type="dxa" w:w="60"/>
              <w:right w:type="dxa" w:w="120"/>
            </w:tcMar>
          </w:tcPr>
          <w:p>
            <w:r>
              <w:rPr>
                <w:b/>
                <w:bCs/>
                <w:color w:val="2B2118"/>
                <w:sz w:val="22"/>
                <w:szCs w:val="22"/>
              </w:rPr>
              <w:t xml:space="preserve">Ljubica</w:t>
            </w:r>
          </w:p>
        </w:tc>
        <w:tc>
          <w:tcPr>
            <w:tcW w:type="dxa" w:w="5626"/>
            <w:tcMar>
              <w:top w:type="dxa" w:w="60"/>
              <w:left w:type="dxa" w:w="120"/>
              <w:bottom w:type="dxa" w:w="60"/>
              <w:right w:type="dxa" w:w="120"/>
            </w:tcMar>
          </w:tcPr>
          <w:p>
            <w:r>
              <w:rPr>
                <w:b w:val="false"/>
                <w:bCs w:val="false"/>
                <w:color w:val="2B2118"/>
                <w:sz w:val="22"/>
                <w:szCs w:val="22"/>
              </w:rPr>
              <w:t xml:space="preserve">LYOO-bee-tsah</w:t>
            </w:r>
          </w:p>
        </w:tc>
      </w:tr>
      <w:tr>
        <w:trPr>
          <w:cantSplit/>
        </w:trPr>
        <w:tc>
          <w:tcPr>
            <w:tcW w:type="dxa" w:w="3400"/>
            <w:tcMar>
              <w:top w:type="dxa" w:w="60"/>
              <w:left w:type="dxa" w:w="120"/>
              <w:bottom w:type="dxa" w:w="60"/>
              <w:right w:type="dxa" w:w="120"/>
            </w:tcMar>
          </w:tcPr>
          <w:p>
            <w:r>
              <w:rPr>
                <w:b/>
                <w:bCs/>
                <w:color w:val="2B2118"/>
                <w:sz w:val="22"/>
                <w:szCs w:val="22"/>
              </w:rPr>
              <w:t xml:space="preserve">Dimitrije Avramović</w:t>
            </w:r>
          </w:p>
        </w:tc>
        <w:tc>
          <w:tcPr>
            <w:tcW w:type="dxa" w:w="5626"/>
            <w:tcMar>
              <w:top w:type="dxa" w:w="60"/>
              <w:left w:type="dxa" w:w="120"/>
              <w:bottom w:type="dxa" w:w="60"/>
              <w:right w:type="dxa" w:w="120"/>
            </w:tcMar>
          </w:tcPr>
          <w:p>
            <w:r>
              <w:rPr>
                <w:b w:val="false"/>
                <w:bCs w:val="false"/>
                <w:color w:val="2B2118"/>
                <w:sz w:val="22"/>
                <w:szCs w:val="22"/>
              </w:rPr>
              <w:t xml:space="preserve">dee-MEE-tree-yeh ah-VRAH-moh-vitch</w:t>
            </w:r>
          </w:p>
        </w:tc>
      </w:tr>
      <w:tr>
        <w:trPr>
          <w:cantSplit/>
        </w:trPr>
        <w:tc>
          <w:tcPr>
            <w:tcW w:type="dxa" w:w="3400"/>
            <w:tcMar>
              <w:top w:type="dxa" w:w="60"/>
              <w:left w:type="dxa" w:w="120"/>
              <w:bottom w:type="dxa" w:w="60"/>
              <w:right w:type="dxa" w:w="120"/>
            </w:tcMar>
          </w:tcPr>
          <w:p>
            <w:r>
              <w:rPr>
                <w:b/>
                <w:bCs/>
                <w:color w:val="2B2118"/>
                <w:sz w:val="22"/>
                <w:szCs w:val="22"/>
              </w:rPr>
              <w:t xml:space="preserve">Vuk Karadžić</w:t>
            </w:r>
          </w:p>
        </w:tc>
        <w:tc>
          <w:tcPr>
            <w:tcW w:type="dxa" w:w="5626"/>
            <w:tcMar>
              <w:top w:type="dxa" w:w="60"/>
              <w:left w:type="dxa" w:w="120"/>
              <w:bottom w:type="dxa" w:w="60"/>
              <w:right w:type="dxa" w:w="120"/>
            </w:tcMar>
          </w:tcPr>
          <w:p>
            <w:r>
              <w:rPr>
                <w:b w:val="false"/>
                <w:bCs w:val="false"/>
                <w:color w:val="2B2118"/>
                <w:sz w:val="22"/>
                <w:szCs w:val="22"/>
              </w:rPr>
              <w:t xml:space="preserve">VOOK KAH-rah-jitch</w:t>
            </w:r>
          </w:p>
        </w:tc>
      </w:tr>
      <w:tr>
        <w:trPr>
          <w:cantSplit/>
        </w:trPr>
        <w:tc>
          <w:tcPr>
            <w:tcW w:type="dxa" w:w="3400"/>
            <w:tcMar>
              <w:top w:type="dxa" w:w="60"/>
              <w:left w:type="dxa" w:w="120"/>
              <w:bottom w:type="dxa" w:w="60"/>
              <w:right w:type="dxa" w:w="120"/>
            </w:tcMar>
          </w:tcPr>
          <w:p>
            <w:r>
              <w:rPr>
                <w:b/>
                <w:bCs/>
                <w:color w:val="2B2118"/>
                <w:sz w:val="22"/>
                <w:szCs w:val="22"/>
              </w:rPr>
              <w:t xml:space="preserve">Borisavljević</w:t>
            </w:r>
          </w:p>
        </w:tc>
        <w:tc>
          <w:tcPr>
            <w:tcW w:type="dxa" w:w="5626"/>
            <w:tcMar>
              <w:top w:type="dxa" w:w="60"/>
              <w:left w:type="dxa" w:w="120"/>
              <w:bottom w:type="dxa" w:w="60"/>
              <w:right w:type="dxa" w:w="120"/>
            </w:tcMar>
          </w:tcPr>
          <w:p>
            <w:r>
              <w:rPr>
                <w:b w:val="false"/>
                <w:bCs w:val="false"/>
                <w:color w:val="2B2118"/>
                <w:sz w:val="22"/>
                <w:szCs w:val="22"/>
              </w:rPr>
              <w:t xml:space="preserve">boh-ree-SAHV-lyeh-vitch</w:t>
            </w:r>
          </w:p>
        </w:tc>
      </w:tr>
      <w:tr>
        <w:trPr>
          <w:cantSplit/>
        </w:trPr>
        <w:tc>
          <w:tcPr>
            <w:tcW w:type="dxa" w:w="3400"/>
            <w:tcMar>
              <w:top w:type="dxa" w:w="60"/>
              <w:left w:type="dxa" w:w="120"/>
              <w:bottom w:type="dxa" w:w="60"/>
              <w:right w:type="dxa" w:w="120"/>
            </w:tcMar>
          </w:tcPr>
          <w:p>
            <w:r>
              <w:rPr>
                <w:b/>
                <w:bCs/>
                <w:color w:val="2B2118"/>
                <w:sz w:val="22"/>
                <w:szCs w:val="22"/>
              </w:rPr>
              <w:t xml:space="preserve">Nova Varoš</w:t>
            </w:r>
          </w:p>
        </w:tc>
        <w:tc>
          <w:tcPr>
            <w:tcW w:type="dxa" w:w="5626"/>
            <w:tcMar>
              <w:top w:type="dxa" w:w="60"/>
              <w:left w:type="dxa" w:w="120"/>
              <w:bottom w:type="dxa" w:w="60"/>
              <w:right w:type="dxa" w:w="120"/>
            </w:tcMar>
          </w:tcPr>
          <w:p>
            <w:r>
              <w:rPr>
                <w:b w:val="false"/>
                <w:bCs w:val="false"/>
                <w:color w:val="2B2118"/>
                <w:sz w:val="22"/>
                <w:szCs w:val="22"/>
              </w:rPr>
              <w:t xml:space="preserve">NOH-vah VAH-rosh</w:t>
            </w:r>
          </w:p>
        </w:tc>
      </w:tr>
      <w:tr>
        <w:trPr>
          <w:cantSplit/>
        </w:trPr>
        <w:tc>
          <w:tcPr>
            <w:tcW w:type="dxa" w:w="3400"/>
            <w:tcMar>
              <w:top w:type="dxa" w:w="60"/>
              <w:left w:type="dxa" w:w="120"/>
              <w:bottom w:type="dxa" w:w="60"/>
              <w:right w:type="dxa" w:w="120"/>
            </w:tcMar>
          </w:tcPr>
          <w:p>
            <w:r>
              <w:rPr>
                <w:b/>
                <w:bCs/>
                <w:color w:val="2B2118"/>
                <w:sz w:val="22"/>
                <w:szCs w:val="22"/>
              </w:rPr>
              <w:t xml:space="preserve">Simić</w:t>
            </w:r>
          </w:p>
        </w:tc>
        <w:tc>
          <w:tcPr>
            <w:tcW w:type="dxa" w:w="5626"/>
            <w:tcMar>
              <w:top w:type="dxa" w:w="60"/>
              <w:left w:type="dxa" w:w="120"/>
              <w:bottom w:type="dxa" w:w="60"/>
              <w:right w:type="dxa" w:w="120"/>
            </w:tcMar>
          </w:tcPr>
          <w:p>
            <w:r>
              <w:rPr>
                <w:b w:val="false"/>
                <w:bCs w:val="false"/>
                <w:color w:val="2B2118"/>
                <w:sz w:val="22"/>
                <w:szCs w:val="22"/>
              </w:rPr>
              <w:t xml:space="preserve">SEE-mitch</w:t>
            </w:r>
          </w:p>
        </w:tc>
      </w:tr>
      <w:tr>
        <w:trPr>
          <w:cantSplit/>
        </w:trPr>
        <w:tc>
          <w:tcPr>
            <w:tcW w:type="dxa" w:w="3400"/>
            <w:tcMar>
              <w:top w:type="dxa" w:w="60"/>
              <w:left w:type="dxa" w:w="120"/>
              <w:bottom w:type="dxa" w:w="60"/>
              <w:right w:type="dxa" w:w="120"/>
            </w:tcMar>
          </w:tcPr>
          <w:p>
            <w:r>
              <w:rPr>
                <w:b/>
                <w:bCs/>
                <w:color w:val="2B2118"/>
                <w:sz w:val="22"/>
                <w:szCs w:val="22"/>
              </w:rPr>
              <w:t xml:space="preserve">Goldštajn</w:t>
            </w:r>
          </w:p>
        </w:tc>
        <w:tc>
          <w:tcPr>
            <w:tcW w:type="dxa" w:w="5626"/>
            <w:tcMar>
              <w:top w:type="dxa" w:w="60"/>
              <w:left w:type="dxa" w:w="120"/>
              <w:bottom w:type="dxa" w:w="60"/>
              <w:right w:type="dxa" w:w="120"/>
            </w:tcMar>
          </w:tcPr>
          <w:p>
            <w:r>
              <w:rPr>
                <w:b w:val="false"/>
                <w:bCs w:val="false"/>
                <w:color w:val="2B2118"/>
                <w:sz w:val="22"/>
                <w:szCs w:val="22"/>
              </w:rPr>
              <w:t xml:space="preserve">GOLD-shtine</w:t>
            </w:r>
          </w:p>
        </w:tc>
      </w:tr>
      <w:tr>
        <w:trPr>
          <w:cantSplit/>
        </w:trPr>
        <w:tc>
          <w:tcPr>
            <w:tcW w:type="dxa" w:w="3400"/>
            <w:tcMar>
              <w:top w:type="dxa" w:w="60"/>
              <w:left w:type="dxa" w:w="120"/>
              <w:bottom w:type="dxa" w:w="60"/>
              <w:right w:type="dxa" w:w="120"/>
            </w:tcMar>
          </w:tcPr>
          <w:p>
            <w:r>
              <w:rPr>
                <w:b/>
                <w:bCs/>
                <w:color w:val="2B2118"/>
                <w:sz w:val="22"/>
                <w:szCs w:val="22"/>
              </w:rPr>
              <w:t xml:space="preserve">Barthou</w:t>
            </w:r>
          </w:p>
        </w:tc>
        <w:tc>
          <w:tcPr>
            <w:tcW w:type="dxa" w:w="5626"/>
            <w:tcMar>
              <w:top w:type="dxa" w:w="60"/>
              <w:left w:type="dxa" w:w="120"/>
              <w:bottom w:type="dxa" w:w="60"/>
              <w:right w:type="dxa" w:w="120"/>
            </w:tcMar>
          </w:tcPr>
          <w:p>
            <w:r>
              <w:rPr>
                <w:b w:val="false"/>
                <w:bCs w:val="false"/>
                <w:color w:val="2B2118"/>
                <w:sz w:val="22"/>
                <w:szCs w:val="22"/>
              </w:rPr>
              <w:t xml:space="preserve">bar-TOO</w:t>
            </w:r>
          </w:p>
        </w:tc>
      </w:tr>
      <w:tr>
        <w:trPr>
          <w:cantSplit/>
        </w:trPr>
        <w:tc>
          <w:tcPr>
            <w:tcW w:type="dxa" w:w="3400"/>
            <w:tcMar>
              <w:top w:type="dxa" w:w="60"/>
              <w:left w:type="dxa" w:w="120"/>
              <w:bottom w:type="dxa" w:w="60"/>
              <w:right w:type="dxa" w:w="120"/>
            </w:tcMar>
          </w:tcPr>
          <w:p>
            <w:r>
              <w:rPr>
                <w:b/>
                <w:bCs/>
                <w:color w:val="2B2118"/>
                <w:sz w:val="22"/>
                <w:szCs w:val="22"/>
              </w:rPr>
              <w:t xml:space="preserve">Marseille</w:t>
            </w:r>
          </w:p>
        </w:tc>
        <w:tc>
          <w:tcPr>
            <w:tcW w:type="dxa" w:w="5626"/>
            <w:tcMar>
              <w:top w:type="dxa" w:w="60"/>
              <w:left w:type="dxa" w:w="120"/>
              <w:bottom w:type="dxa" w:w="60"/>
              <w:right w:type="dxa" w:w="120"/>
            </w:tcMar>
          </w:tcPr>
          <w:p>
            <w:r>
              <w:rPr>
                <w:b w:val="false"/>
                <w:bCs w:val="false"/>
                <w:color w:val="2B2118"/>
                <w:sz w:val="22"/>
                <w:szCs w:val="22"/>
              </w:rPr>
              <w:t xml:space="preserve">mar-SAY</w:t>
            </w:r>
          </w:p>
        </w:tc>
      </w:tr>
      <w:tr>
        <w:trPr>
          <w:cantSplit/>
        </w:trPr>
        <w:tc>
          <w:tcPr>
            <w:tcW w:type="dxa" w:w="3400"/>
            <w:tcMar>
              <w:top w:type="dxa" w:w="60"/>
              <w:left w:type="dxa" w:w="120"/>
              <w:bottom w:type="dxa" w:w="60"/>
              <w:right w:type="dxa" w:w="120"/>
            </w:tcMar>
          </w:tcPr>
          <w:p>
            <w:r>
              <w:rPr>
                <w:b/>
                <w:bCs/>
                <w:color w:val="2B2118"/>
                <w:sz w:val="22"/>
                <w:szCs w:val="22"/>
              </w:rPr>
              <w:t xml:space="preserve">yatagan</w:t>
            </w:r>
          </w:p>
        </w:tc>
        <w:tc>
          <w:tcPr>
            <w:tcW w:type="dxa" w:w="5626"/>
            <w:tcMar>
              <w:top w:type="dxa" w:w="60"/>
              <w:left w:type="dxa" w:w="120"/>
              <w:bottom w:type="dxa" w:w="60"/>
              <w:right w:type="dxa" w:w="120"/>
            </w:tcMar>
          </w:tcPr>
          <w:p>
            <w:r>
              <w:rPr>
                <w:b w:val="false"/>
                <w:bCs w:val="false"/>
                <w:color w:val="2B2118"/>
                <w:sz w:val="22"/>
                <w:szCs w:val="22"/>
              </w:rPr>
              <w:t xml:space="preserve">YAT-uh-gan</w:t>
            </w:r>
          </w:p>
        </w:tc>
      </w:tr>
      <w:tr>
        <w:trPr>
          <w:cantSplit/>
        </w:trPr>
        <w:tc>
          <w:tcPr>
            <w:tcW w:type="dxa" w:w="3400"/>
            <w:tcMar>
              <w:top w:type="dxa" w:w="60"/>
              <w:left w:type="dxa" w:w="120"/>
              <w:bottom w:type="dxa" w:w="60"/>
              <w:right w:type="dxa" w:w="120"/>
            </w:tcMar>
          </w:tcPr>
          <w:p>
            <w:r>
              <w:rPr>
                <w:b/>
                <w:bCs/>
                <w:color w:val="2B2118"/>
                <w:sz w:val="22"/>
                <w:szCs w:val="22"/>
              </w:rPr>
              <w:t xml:space="preserve">Nemanjić</w:t>
            </w:r>
          </w:p>
        </w:tc>
        <w:tc>
          <w:tcPr>
            <w:tcW w:type="dxa" w:w="5626"/>
            <w:tcMar>
              <w:top w:type="dxa" w:w="60"/>
              <w:left w:type="dxa" w:w="120"/>
              <w:bottom w:type="dxa" w:w="60"/>
              <w:right w:type="dxa" w:w="120"/>
            </w:tcMar>
          </w:tcPr>
          <w:p>
            <w:r>
              <w:rPr>
                <w:b w:val="false"/>
                <w:bCs w:val="false"/>
                <w:color w:val="2B2118"/>
                <w:sz w:val="22"/>
                <w:szCs w:val="22"/>
              </w:rPr>
              <w:t xml:space="preserve">neh-MAH-nyitch</w:t>
            </w:r>
          </w:p>
        </w:tc>
      </w:tr>
      <w:tr>
        <w:trPr>
          <w:cantSplit/>
        </w:trPr>
        <w:tc>
          <w:tcPr>
            <w:tcW w:type="dxa" w:w="3400"/>
            <w:tcMar>
              <w:top w:type="dxa" w:w="60"/>
              <w:left w:type="dxa" w:w="120"/>
              <w:bottom w:type="dxa" w:w="60"/>
              <w:right w:type="dxa" w:w="120"/>
            </w:tcMar>
          </w:tcPr>
          <w:p>
            <w:r>
              <w:rPr>
                <w:b/>
                <w:bCs/>
                <w:color w:val="2B2118"/>
                <w:sz w:val="22"/>
                <w:szCs w:val="22"/>
              </w:rPr>
              <w:t xml:space="preserve">Lazarević</w:t>
            </w:r>
          </w:p>
        </w:tc>
        <w:tc>
          <w:tcPr>
            <w:tcW w:type="dxa" w:w="5626"/>
            <w:tcMar>
              <w:top w:type="dxa" w:w="60"/>
              <w:left w:type="dxa" w:w="120"/>
              <w:bottom w:type="dxa" w:w="60"/>
              <w:right w:type="dxa" w:w="120"/>
            </w:tcMar>
          </w:tcPr>
          <w:p>
            <w:r>
              <w:rPr>
                <w:b w:val="false"/>
                <w:bCs w:val="false"/>
                <w:color w:val="2B2118"/>
                <w:sz w:val="22"/>
                <w:szCs w:val="22"/>
              </w:rPr>
              <w:t xml:space="preserve">LAH-zah-reh-vitch</w:t>
            </w:r>
          </w:p>
        </w:tc>
      </w:tr>
      <w:tr>
        <w:trPr>
          <w:cantSplit/>
        </w:trPr>
        <w:tc>
          <w:tcPr>
            <w:tcW w:type="dxa" w:w="3400"/>
            <w:tcMar>
              <w:top w:type="dxa" w:w="60"/>
              <w:left w:type="dxa" w:w="120"/>
              <w:bottom w:type="dxa" w:w="60"/>
              <w:right w:type="dxa" w:w="120"/>
            </w:tcMar>
          </w:tcPr>
          <w:p>
            <w:r>
              <w:rPr>
                <w:b/>
                <w:bCs/>
                <w:color w:val="2B2118"/>
                <w:sz w:val="22"/>
                <w:szCs w:val="22"/>
              </w:rPr>
              <w:t xml:space="preserve">Branković</w:t>
            </w:r>
          </w:p>
        </w:tc>
        <w:tc>
          <w:tcPr>
            <w:tcW w:type="dxa" w:w="5626"/>
            <w:tcMar>
              <w:top w:type="dxa" w:w="60"/>
              <w:left w:type="dxa" w:w="120"/>
              <w:bottom w:type="dxa" w:w="60"/>
              <w:right w:type="dxa" w:w="120"/>
            </w:tcMar>
          </w:tcPr>
          <w:p>
            <w:r>
              <w:rPr>
                <w:b w:val="false"/>
                <w:bCs w:val="false"/>
                <w:color w:val="2B2118"/>
                <w:sz w:val="22"/>
                <w:szCs w:val="22"/>
              </w:rPr>
              <w:t xml:space="preserve">BRAHN-koh-vitch</w:t>
            </w:r>
          </w:p>
        </w:tc>
      </w:tr>
      <w:tr>
        <w:trPr>
          <w:cantSplit/>
        </w:trPr>
        <w:tc>
          <w:tcPr>
            <w:tcW w:type="dxa" w:w="3400"/>
            <w:tcMar>
              <w:top w:type="dxa" w:w="60"/>
              <w:left w:type="dxa" w:w="120"/>
              <w:bottom w:type="dxa" w:w="60"/>
              <w:right w:type="dxa" w:w="120"/>
            </w:tcMar>
          </w:tcPr>
          <w:p>
            <w:r>
              <w:rPr>
                <w:b/>
                <w:bCs/>
                <w:color w:val="2B2118"/>
                <w:sz w:val="22"/>
                <w:szCs w:val="22"/>
              </w:rPr>
              <w:t xml:space="preserve">Vojislavljević</w:t>
            </w:r>
          </w:p>
        </w:tc>
        <w:tc>
          <w:tcPr>
            <w:tcW w:type="dxa" w:w="5626"/>
            <w:tcMar>
              <w:top w:type="dxa" w:w="60"/>
              <w:left w:type="dxa" w:w="120"/>
              <w:bottom w:type="dxa" w:w="60"/>
              <w:right w:type="dxa" w:w="120"/>
            </w:tcMar>
          </w:tcPr>
          <w:p>
            <w:r>
              <w:rPr>
                <w:b w:val="false"/>
                <w:bCs w:val="false"/>
                <w:color w:val="2B2118"/>
                <w:sz w:val="22"/>
                <w:szCs w:val="22"/>
              </w:rPr>
              <w:t xml:space="preserve">voy-ee-SLAHV-lyeh-vitch</w:t>
            </w:r>
          </w:p>
        </w:tc>
      </w:tr>
      <w:tr>
        <w:trPr>
          <w:cantSplit/>
        </w:trPr>
        <w:tc>
          <w:tcPr>
            <w:tcW w:type="dxa" w:w="3400"/>
            <w:tcMar>
              <w:top w:type="dxa" w:w="60"/>
              <w:left w:type="dxa" w:w="120"/>
              <w:bottom w:type="dxa" w:w="60"/>
              <w:right w:type="dxa" w:w="120"/>
            </w:tcMar>
          </w:tcPr>
          <w:p>
            <w:r>
              <w:rPr>
                <w:b/>
                <w:bCs/>
                <w:color w:val="2B2118"/>
                <w:sz w:val="22"/>
                <w:szCs w:val="22"/>
              </w:rPr>
              <w:t xml:space="preserve">Kosovo</w:t>
            </w:r>
          </w:p>
        </w:tc>
        <w:tc>
          <w:tcPr>
            <w:tcW w:type="dxa" w:w="5626"/>
            <w:tcMar>
              <w:top w:type="dxa" w:w="60"/>
              <w:left w:type="dxa" w:w="120"/>
              <w:bottom w:type="dxa" w:w="60"/>
              <w:right w:type="dxa" w:w="120"/>
            </w:tcMar>
          </w:tcPr>
          <w:p>
            <w:r>
              <w:rPr>
                <w:b w:val="false"/>
                <w:bCs w:val="false"/>
                <w:color w:val="2B2118"/>
                <w:sz w:val="22"/>
                <w:szCs w:val="22"/>
              </w:rPr>
              <w:t xml:space="preserve">KOH-soh-voh</w:t>
            </w:r>
          </w:p>
        </w:tc>
      </w:tr>
      <w:tr>
        <w:trPr>
          <w:cantSplit/>
        </w:trPr>
        <w:tc>
          <w:tcPr>
            <w:tcW w:type="dxa" w:w="3400"/>
            <w:tcMar>
              <w:top w:type="dxa" w:w="60"/>
              <w:left w:type="dxa" w:w="120"/>
              <w:bottom w:type="dxa" w:w="60"/>
              <w:right w:type="dxa" w:w="120"/>
            </w:tcMar>
          </w:tcPr>
          <w:p>
            <w:r>
              <w:rPr>
                <w:b/>
                <w:bCs/>
                <w:color w:val="2B2118"/>
                <w:sz w:val="22"/>
                <w:szCs w:val="22"/>
              </w:rPr>
              <w:t xml:space="preserve">Topčider</w:t>
            </w:r>
          </w:p>
        </w:tc>
        <w:tc>
          <w:tcPr>
            <w:tcW w:type="dxa" w:w="5626"/>
            <w:tcMar>
              <w:top w:type="dxa" w:w="60"/>
              <w:left w:type="dxa" w:w="120"/>
              <w:bottom w:type="dxa" w:w="60"/>
              <w:right w:type="dxa" w:w="120"/>
            </w:tcMar>
          </w:tcPr>
          <w:p>
            <w:r>
              <w:rPr>
                <w:b w:val="false"/>
                <w:bCs w:val="false"/>
                <w:color w:val="2B2118"/>
                <w:sz w:val="22"/>
                <w:szCs w:val="22"/>
              </w:rPr>
              <w:t xml:space="preserve">TOP-chee-der</w:t>
            </w:r>
          </w:p>
        </w:tc>
      </w:tr>
    </w:tbl>
    <w:sectPr>
      <w:footerReference w:type="default" r:id="rId6"/>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8"/>
        <w:sz w:val="18"/>
        <w:szCs w:val="18"/>
      </w:rPr>
      <w:t xml:space="preserve">Audio guide script · English · page </w:t>
    </w:r>
    <w:r>
      <w:rPr>
        <w:color w:val="6B6258"/>
        <w:sz w:val="18"/>
        <w:szCs w:val="18"/>
      </w:rPr>
      <w:fldChar w:fldCharType="begin"/>
    </w:r>
    <w:r>
      <w:rPr>
        <w:color w:val="6B6258"/>
        <w:sz w:val="18"/>
        <w:szCs w:val="18"/>
      </w:rPr>
      <w:instrText xml:space="preserve">PAGE</w:instrText>
    </w:r>
    <w:r>
      <w:rPr>
        <w:color w:val="6B6258"/>
        <w:sz w:val="18"/>
        <w:szCs w:val="18"/>
      </w:rPr>
      <w:fldChar w:fldCharType="separate"/>
    </w:r>
    <w:r>
      <w:rPr>
        <w:color w:val="6B625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guide script (English)</dc:title>
  <dc:creator>Serbian Historical Museum guide</dc:creator>
  <cp:lastModifiedBy>Un-named</cp:lastModifiedBy>
  <cp:revision>1</cp:revision>
  <dcterms:created xsi:type="dcterms:W3CDTF">2026-10-26T14:54:29.205Z</dcterms:created>
  <dcterms:modified xsi:type="dcterms:W3CDTF">2026-10-26T14:54:29.207Z</dcterms:modified>
</cp:coreProperties>
</file>

<file path=docProps/custom.xml><?xml version="1.0" encoding="utf-8"?>
<Properties xmlns="http://schemas.openxmlformats.org/officeDocument/2006/custom-properties" xmlns:vt="http://schemas.openxmlformats.org/officeDocument/2006/docPropsVTypes"/>
</file>