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9AF" w:rsidRPr="00BC09AF" w:rsidRDefault="00BC09AF" w:rsidP="00BC09AF">
      <w:pPr>
        <w:pStyle w:val="Ttulo1"/>
        <w:jc w:val="center"/>
        <w:rPr>
          <w:rFonts w:ascii="Times New Roman" w:hAnsi="Times New Roman" w:cs="Times New Roman"/>
          <w:b/>
          <w:color w:val="auto"/>
          <w:sz w:val="24"/>
        </w:rPr>
      </w:pPr>
      <w:r w:rsidRPr="00BC09AF">
        <w:rPr>
          <w:rFonts w:ascii="Times New Roman" w:hAnsi="Times New Roman" w:cs="Times New Roman"/>
          <w:b/>
          <w:color w:val="auto"/>
          <w:sz w:val="24"/>
        </w:rPr>
        <w:t>CAPÍTULO I: EL PROBLEMA</w:t>
      </w:r>
    </w:p>
    <w:p w:rsidR="00BC09AF" w:rsidRDefault="00BC09AF" w:rsidP="00BC09AF">
      <w:r>
        <w:t xml:space="preserve"> </w:t>
      </w:r>
    </w:p>
    <w:p w:rsidR="00013CD4" w:rsidRDefault="00BC09AF" w:rsidP="00104D15">
      <w:pPr>
        <w:pStyle w:val="Prrafodelista"/>
        <w:numPr>
          <w:ilvl w:val="1"/>
          <w:numId w:val="1"/>
        </w:numPr>
        <w:rPr>
          <w:rFonts w:ascii="Times New Roman" w:hAnsi="Times New Roman" w:cs="Times New Roman"/>
          <w:sz w:val="24"/>
        </w:rPr>
      </w:pPr>
      <w:r w:rsidRPr="00104D15">
        <w:rPr>
          <w:rFonts w:ascii="Times New Roman" w:hAnsi="Times New Roman" w:cs="Times New Roman"/>
          <w:sz w:val="24"/>
        </w:rPr>
        <w:t>Antecedentes del problema</w:t>
      </w:r>
    </w:p>
    <w:p w:rsidR="002C5146" w:rsidRDefault="002C5146" w:rsidP="002C5146">
      <w:pPr>
        <w:pStyle w:val="Prrafodelista"/>
        <w:ind w:left="420"/>
        <w:rPr>
          <w:rFonts w:ascii="Times New Roman" w:hAnsi="Times New Roman" w:cs="Times New Roman"/>
          <w:sz w:val="24"/>
        </w:rPr>
      </w:pPr>
    </w:p>
    <w:p w:rsidR="002D1304" w:rsidRPr="002C5146" w:rsidRDefault="002C5146" w:rsidP="002C5146">
      <w:pPr>
        <w:spacing w:line="480" w:lineRule="auto"/>
        <w:ind w:firstLine="420"/>
        <w:rPr>
          <w:rFonts w:ascii="Times New Roman" w:hAnsi="Times New Roman" w:cs="Times New Roman"/>
          <w:sz w:val="24"/>
        </w:rPr>
      </w:pPr>
      <w:r w:rsidRPr="002C5146">
        <w:rPr>
          <w:rFonts w:ascii="Times New Roman" w:hAnsi="Times New Roman" w:cs="Times New Roman"/>
          <w:sz w:val="24"/>
        </w:rPr>
        <w:t xml:space="preserve">1.1.1 Bajo </w:t>
      </w:r>
      <w:r>
        <w:rPr>
          <w:rFonts w:ascii="Times New Roman" w:hAnsi="Times New Roman" w:cs="Times New Roman"/>
          <w:sz w:val="24"/>
        </w:rPr>
        <w:t>r</w:t>
      </w:r>
      <w:r w:rsidRPr="002C5146">
        <w:rPr>
          <w:rFonts w:ascii="Times New Roman" w:hAnsi="Times New Roman" w:cs="Times New Roman"/>
          <w:sz w:val="24"/>
        </w:rPr>
        <w:t xml:space="preserve">endimiento </w:t>
      </w:r>
      <w:r>
        <w:rPr>
          <w:rFonts w:ascii="Times New Roman" w:hAnsi="Times New Roman" w:cs="Times New Roman"/>
          <w:sz w:val="24"/>
        </w:rPr>
        <w:t>a</w:t>
      </w:r>
      <w:r w:rsidRPr="002C5146">
        <w:rPr>
          <w:rFonts w:ascii="Times New Roman" w:hAnsi="Times New Roman" w:cs="Times New Roman"/>
          <w:sz w:val="24"/>
        </w:rPr>
        <w:t>cadémico</w:t>
      </w:r>
      <w:r>
        <w:rPr>
          <w:rFonts w:ascii="Times New Roman" w:hAnsi="Times New Roman" w:cs="Times New Roman"/>
          <w:sz w:val="24"/>
        </w:rPr>
        <w:t>.</w:t>
      </w:r>
      <w:r w:rsidRPr="002C5146">
        <w:rPr>
          <w:rFonts w:ascii="Times New Roman" w:hAnsi="Times New Roman" w:cs="Times New Roman"/>
          <w:sz w:val="24"/>
        </w:rPr>
        <w:t xml:space="preserve"> </w:t>
      </w:r>
      <w:r w:rsidR="002D1304" w:rsidRPr="002C5146">
        <w:rPr>
          <w:rFonts w:ascii="Times New Roman" w:hAnsi="Times New Roman" w:cs="Times New Roman"/>
          <w:sz w:val="24"/>
          <w:lang w:val="es-ES"/>
        </w:rPr>
        <w:t xml:space="preserve">Los bajos niveles de rendimiento académico </w:t>
      </w:r>
      <w:r w:rsidRPr="002C5146">
        <w:rPr>
          <w:rFonts w:ascii="Times New Roman" w:hAnsi="Times New Roman" w:cs="Times New Roman"/>
          <w:sz w:val="24"/>
          <w:lang w:val="es-ES"/>
        </w:rPr>
        <w:t xml:space="preserve">estudiantil </w:t>
      </w:r>
      <w:r w:rsidR="002D1304" w:rsidRPr="002C5146">
        <w:rPr>
          <w:rFonts w:ascii="Times New Roman" w:hAnsi="Times New Roman" w:cs="Times New Roman"/>
          <w:sz w:val="24"/>
          <w:lang w:val="es-ES"/>
        </w:rPr>
        <w:t xml:space="preserve">es un problema que aqueja a todos los países del mundo, un estudio realizado por la OCDE en el año 2012 demostró que uno de cada cuatro jóvenes de 15 años (casi cuatro millones de alumnos de la OCDE) presenta un bajo nivel en sus resultados académicos en el área de matemáticas  ya que no han alcanzado los conocimientos y habilidades básicas, de igual manera de los 64 países que participaron en la prueba PISA del 2012 se obtuvo como resultado que 11.5 millones de estudiantes tuvieron un rendimiento bajo en el áreas de las matemáticas ente los países con mayor resultado de bajo rendimiento académico están (Indonesia, Perú, Colombia , Qatar, Jordania, Brasil, Tunes , Argentina, Albania , Costa Rica, Uruguay , México etc.)    </w:t>
      </w:r>
      <w:sdt>
        <w:sdtPr>
          <w:rPr>
            <w:lang w:val="es-ES"/>
          </w:rPr>
          <w:id w:val="1987735717"/>
          <w:citation/>
        </w:sdtPr>
        <w:sdtContent>
          <w:r w:rsidR="002D1304" w:rsidRPr="002C5146">
            <w:rPr>
              <w:rFonts w:ascii="Times New Roman" w:hAnsi="Times New Roman" w:cs="Times New Roman"/>
              <w:sz w:val="24"/>
              <w:lang w:val="es-ES"/>
            </w:rPr>
            <w:fldChar w:fldCharType="begin"/>
          </w:r>
          <w:r w:rsidR="002D1304" w:rsidRPr="002C5146">
            <w:rPr>
              <w:rFonts w:ascii="Times New Roman" w:hAnsi="Times New Roman" w:cs="Times New Roman"/>
              <w:sz w:val="24"/>
              <w:lang w:val="es-ES"/>
            </w:rPr>
            <w:instrText xml:space="preserve">CITATION PIS12 \p 9,20 \l 3082 </w:instrText>
          </w:r>
          <w:r w:rsidR="002D1304" w:rsidRPr="002C5146">
            <w:rPr>
              <w:rFonts w:ascii="Times New Roman" w:hAnsi="Times New Roman" w:cs="Times New Roman"/>
              <w:sz w:val="24"/>
              <w:lang w:val="es-ES"/>
            </w:rPr>
            <w:fldChar w:fldCharType="separate"/>
          </w:r>
          <w:r w:rsidR="00EE357F">
            <w:rPr>
              <w:rFonts w:ascii="Times New Roman" w:hAnsi="Times New Roman" w:cs="Times New Roman"/>
              <w:b/>
              <w:bCs/>
              <w:noProof/>
              <w:sz w:val="24"/>
              <w:lang w:val="es-ES"/>
            </w:rPr>
            <w:t>Fuente especificada no válida.</w:t>
          </w:r>
          <w:r w:rsidR="002D1304" w:rsidRPr="002C5146">
            <w:rPr>
              <w:rFonts w:ascii="Times New Roman" w:hAnsi="Times New Roman" w:cs="Times New Roman"/>
              <w:sz w:val="24"/>
              <w:lang w:val="es-ES"/>
            </w:rPr>
            <w:fldChar w:fldCharType="end"/>
          </w:r>
        </w:sdtContent>
      </w:sdt>
      <w:r w:rsidR="002D1304" w:rsidRPr="002C5146">
        <w:rPr>
          <w:rFonts w:ascii="Times New Roman" w:hAnsi="Times New Roman" w:cs="Times New Roman"/>
          <w:sz w:val="24"/>
          <w:lang w:val="es-ES"/>
        </w:rPr>
        <w:t xml:space="preserve">. </w:t>
      </w:r>
    </w:p>
    <w:p w:rsidR="002D1304" w:rsidRDefault="002D1304" w:rsidP="002D1304">
      <w:pPr>
        <w:spacing w:line="480" w:lineRule="auto"/>
        <w:ind w:firstLine="708"/>
        <w:rPr>
          <w:rFonts w:ascii="Times New Roman" w:hAnsi="Times New Roman" w:cs="Times New Roman"/>
          <w:sz w:val="24"/>
        </w:rPr>
      </w:pPr>
      <w:r>
        <w:rPr>
          <w:rFonts w:ascii="Times New Roman" w:hAnsi="Times New Roman" w:cs="Times New Roman"/>
          <w:sz w:val="24"/>
          <w:lang w:val="es-ES"/>
        </w:rPr>
        <w:t xml:space="preserve">La situación problemática del bajo rendimiento académico </w:t>
      </w:r>
      <w:r w:rsidR="002C5146">
        <w:rPr>
          <w:rFonts w:ascii="Times New Roman" w:hAnsi="Times New Roman" w:cs="Times New Roman"/>
          <w:sz w:val="24"/>
          <w:lang w:val="es-ES"/>
        </w:rPr>
        <w:t>en</w:t>
      </w:r>
      <w:r>
        <w:rPr>
          <w:rFonts w:ascii="Times New Roman" w:hAnsi="Times New Roman" w:cs="Times New Roman"/>
          <w:sz w:val="24"/>
          <w:lang w:val="es-ES"/>
        </w:rPr>
        <w:t xml:space="preserve"> América Latina es más marcada, ya que de los países que participaron en las pruebas PISA del 2015 Ninguno alcanzo la media solicitado, alguno de los resultados fueron las siguientes posiciones de 71 participantes</w:t>
      </w:r>
      <w:r>
        <w:rPr>
          <w:rStyle w:val="Textoennegrita"/>
          <w:b w:val="0"/>
        </w:rPr>
        <w:t xml:space="preserve">, </w:t>
      </w:r>
      <w:r>
        <w:rPr>
          <w:rStyle w:val="Textoennegrita"/>
          <w:b w:val="0"/>
          <w:sz w:val="24"/>
        </w:rPr>
        <w:t>Chile es el primero de la región, en el lugar 44, seguido de Uruguay (47), Costa Rica (55), Colombia (57), México (58), Brasil (63), Perú (64), República Dominicana (70)</w:t>
      </w:r>
      <w:r>
        <w:rPr>
          <w:rFonts w:ascii="Times New Roman" w:hAnsi="Times New Roman" w:cs="Times New Roman"/>
          <w:sz w:val="24"/>
        </w:rPr>
        <w:t xml:space="preserve">, De igual manera el país de los Estados Unidos quedo rezagado en los resultados ubicándose en la posición número (36) no alcanzando la media solicitada. </w:t>
      </w:r>
      <w:sdt>
        <w:sdtPr>
          <w:rPr>
            <w:rFonts w:ascii="Times New Roman" w:hAnsi="Times New Roman" w:cs="Times New Roman"/>
            <w:sz w:val="24"/>
          </w:rPr>
          <w:id w:val="1173290395"/>
          <w:citation/>
        </w:sdtPr>
        <w:sdtContent>
          <w:r>
            <w:rPr>
              <w:rFonts w:ascii="Times New Roman" w:hAnsi="Times New Roman" w:cs="Times New Roman"/>
              <w:sz w:val="24"/>
            </w:rPr>
            <w:fldChar w:fldCharType="begin"/>
          </w:r>
          <w:r>
            <w:rPr>
              <w:rFonts w:ascii="Times New Roman" w:hAnsi="Times New Roman" w:cs="Times New Roman"/>
              <w:sz w:val="24"/>
              <w:lang w:val="es-ES"/>
            </w:rPr>
            <w:instrText xml:space="preserve"> CITATION Sop13 \l 3082 </w:instrText>
          </w:r>
          <w:r>
            <w:rPr>
              <w:rFonts w:ascii="Times New Roman" w:hAnsi="Times New Roman" w:cs="Times New Roman"/>
              <w:sz w:val="24"/>
            </w:rPr>
            <w:fldChar w:fldCharType="separate"/>
          </w:r>
          <w:r w:rsidR="00EE357F">
            <w:rPr>
              <w:rFonts w:ascii="Times New Roman" w:hAnsi="Times New Roman" w:cs="Times New Roman"/>
              <w:b/>
              <w:bCs/>
              <w:noProof/>
              <w:sz w:val="24"/>
              <w:lang w:val="es-ES"/>
            </w:rPr>
            <w:t>Fuente especificada no válida.</w:t>
          </w:r>
          <w:r>
            <w:rPr>
              <w:rFonts w:ascii="Times New Roman" w:hAnsi="Times New Roman" w:cs="Times New Roman"/>
              <w:sz w:val="24"/>
            </w:rPr>
            <w:fldChar w:fldCharType="end"/>
          </w:r>
        </w:sdtContent>
      </w:sdt>
    </w:p>
    <w:p w:rsidR="002D1304" w:rsidRDefault="002D1304" w:rsidP="002D1304">
      <w:pPr>
        <w:spacing w:line="480" w:lineRule="auto"/>
        <w:ind w:firstLine="708"/>
      </w:pPr>
      <w:r>
        <w:rPr>
          <w:rFonts w:ascii="Times New Roman" w:hAnsi="Times New Roman" w:cs="Times New Roman"/>
          <w:sz w:val="24"/>
        </w:rPr>
        <w:t xml:space="preserve">Para Centro América y el Caribe la situación es similar, por debajo de la media europea y Sudamericana, El Salvador participo en las pruebas TIMSS para el área de </w:t>
      </w:r>
      <w:r>
        <w:rPr>
          <w:rFonts w:ascii="Times New Roman" w:hAnsi="Times New Roman" w:cs="Times New Roman"/>
          <w:sz w:val="24"/>
        </w:rPr>
        <w:lastRenderedPageBreak/>
        <w:t xml:space="preserve">matemáticas y los alumnos de cuarto grado quedaron en la posición 33 de 37 países y los alumnos de secundaria quedaron en el puesto 45 de 48 participantes.  </w:t>
      </w:r>
      <w:sdt>
        <w:sdtPr>
          <w:rPr>
            <w:rFonts w:ascii="Times New Roman" w:hAnsi="Times New Roman" w:cs="Times New Roman"/>
            <w:sz w:val="24"/>
          </w:rPr>
          <w:id w:val="-354575103"/>
          <w:citation/>
        </w:sdtPr>
        <w:sdtContent>
          <w:r>
            <w:rPr>
              <w:rFonts w:ascii="Times New Roman" w:hAnsi="Times New Roman" w:cs="Times New Roman"/>
              <w:sz w:val="24"/>
            </w:rPr>
            <w:fldChar w:fldCharType="begin"/>
          </w:r>
          <w:r>
            <w:rPr>
              <w:rFonts w:ascii="Times New Roman" w:hAnsi="Times New Roman" w:cs="Times New Roman"/>
              <w:sz w:val="24"/>
              <w:lang w:val="es-ES"/>
            </w:rPr>
            <w:instrText xml:space="preserve"> CITATION Cac15 \l 3082 </w:instrText>
          </w:r>
          <w:r>
            <w:rPr>
              <w:rFonts w:ascii="Times New Roman" w:hAnsi="Times New Roman" w:cs="Times New Roman"/>
              <w:sz w:val="24"/>
            </w:rPr>
            <w:fldChar w:fldCharType="separate"/>
          </w:r>
          <w:r w:rsidR="00EE357F">
            <w:rPr>
              <w:rFonts w:ascii="Times New Roman" w:hAnsi="Times New Roman" w:cs="Times New Roman"/>
              <w:b/>
              <w:bCs/>
              <w:noProof/>
              <w:sz w:val="24"/>
              <w:lang w:val="es-ES"/>
            </w:rPr>
            <w:t>Fuente especificada no válida.</w:t>
          </w:r>
          <w:r>
            <w:rPr>
              <w:rFonts w:ascii="Times New Roman" w:hAnsi="Times New Roman" w:cs="Times New Roman"/>
              <w:sz w:val="24"/>
            </w:rPr>
            <w:fldChar w:fldCharType="end"/>
          </w:r>
        </w:sdtContent>
      </w:sdt>
      <w:r>
        <w:rPr>
          <w:rFonts w:ascii="Times New Roman" w:hAnsi="Times New Roman" w:cs="Times New Roman"/>
          <w:sz w:val="24"/>
        </w:rPr>
        <w:t xml:space="preserve"> en las pruebas PISA del 2015 Costa Rica alcanzo el puesto 55 de 70 países participantes, siendo el de mejor calificación a nivel Centro Americano, pero con 73 puntos por debajo de la media de aprobación. </w:t>
      </w:r>
      <w:sdt>
        <w:sdtPr>
          <w:rPr>
            <w:rFonts w:ascii="Times New Roman" w:hAnsi="Times New Roman" w:cs="Times New Roman"/>
            <w:sz w:val="24"/>
          </w:rPr>
          <w:id w:val="-996106339"/>
          <w:citation/>
        </w:sdtPr>
        <w:sdtContent>
          <w:r>
            <w:rPr>
              <w:rFonts w:ascii="Times New Roman" w:hAnsi="Times New Roman" w:cs="Times New Roman"/>
              <w:sz w:val="24"/>
            </w:rPr>
            <w:fldChar w:fldCharType="begin"/>
          </w:r>
          <w:r>
            <w:rPr>
              <w:rFonts w:ascii="Times New Roman" w:hAnsi="Times New Roman" w:cs="Times New Roman"/>
              <w:sz w:val="24"/>
              <w:lang w:val="es-ES"/>
            </w:rPr>
            <w:instrText xml:space="preserve">CITATION OCD15 \p 5 \l 3082 </w:instrText>
          </w:r>
          <w:r>
            <w:rPr>
              <w:rFonts w:ascii="Times New Roman" w:hAnsi="Times New Roman" w:cs="Times New Roman"/>
              <w:sz w:val="24"/>
            </w:rPr>
            <w:fldChar w:fldCharType="separate"/>
          </w:r>
          <w:r w:rsidR="00EE357F">
            <w:rPr>
              <w:rFonts w:ascii="Times New Roman" w:hAnsi="Times New Roman" w:cs="Times New Roman"/>
              <w:b/>
              <w:bCs/>
              <w:noProof/>
              <w:sz w:val="24"/>
              <w:lang w:val="es-ES"/>
            </w:rPr>
            <w:t>Fuente especificada no válida.</w:t>
          </w:r>
          <w:r>
            <w:rPr>
              <w:rFonts w:ascii="Times New Roman" w:hAnsi="Times New Roman" w:cs="Times New Roman"/>
              <w:sz w:val="24"/>
            </w:rPr>
            <w:fldChar w:fldCharType="end"/>
          </w:r>
        </w:sdtContent>
      </w:sdt>
    </w:p>
    <w:p w:rsidR="002D1304" w:rsidRDefault="002D1304" w:rsidP="002D1304">
      <w:pPr>
        <w:spacing w:line="480" w:lineRule="auto"/>
        <w:ind w:firstLine="708"/>
      </w:pPr>
      <w:r>
        <w:rPr>
          <w:rFonts w:ascii="Times New Roman" w:hAnsi="Times New Roman" w:cs="Times New Roman"/>
          <w:sz w:val="24"/>
          <w:lang w:val="es-ES"/>
        </w:rPr>
        <w:t xml:space="preserve">En Honduras podemos observar en </w:t>
      </w:r>
      <w:r w:rsidR="002C5146">
        <w:rPr>
          <w:rFonts w:ascii="Times New Roman" w:hAnsi="Times New Roman" w:cs="Times New Roman"/>
          <w:sz w:val="24"/>
          <w:lang w:val="es-ES"/>
        </w:rPr>
        <w:t xml:space="preserve">el </w:t>
      </w:r>
      <w:r>
        <w:rPr>
          <w:rFonts w:ascii="Times New Roman" w:hAnsi="Times New Roman" w:cs="Times New Roman"/>
          <w:sz w:val="24"/>
          <w:lang w:val="es-ES"/>
        </w:rPr>
        <w:t>gráfic</w:t>
      </w:r>
      <w:r w:rsidR="002C5146">
        <w:rPr>
          <w:rFonts w:ascii="Times New Roman" w:hAnsi="Times New Roman" w:cs="Times New Roman"/>
          <w:sz w:val="24"/>
          <w:lang w:val="es-ES"/>
        </w:rPr>
        <w:t>o #1</w:t>
      </w:r>
      <w:r>
        <w:rPr>
          <w:rFonts w:ascii="Times New Roman" w:hAnsi="Times New Roman" w:cs="Times New Roman"/>
          <w:sz w:val="24"/>
          <w:lang w:val="es-ES"/>
        </w:rPr>
        <w:t xml:space="preserve"> el promedio académico de los estudiantes de séptimo</w:t>
      </w:r>
      <w:r w:rsidR="00CB13E6">
        <w:rPr>
          <w:rFonts w:ascii="Times New Roman" w:hAnsi="Times New Roman" w:cs="Times New Roman"/>
          <w:sz w:val="24"/>
          <w:lang w:val="es-ES"/>
        </w:rPr>
        <w:t>,</w:t>
      </w:r>
      <w:r>
        <w:rPr>
          <w:rFonts w:ascii="Times New Roman" w:hAnsi="Times New Roman" w:cs="Times New Roman"/>
          <w:sz w:val="24"/>
          <w:lang w:val="es-ES"/>
        </w:rPr>
        <w:t xml:space="preserve"> octavo y noveno </w:t>
      </w:r>
      <w:r w:rsidR="00EE357F">
        <w:rPr>
          <w:rFonts w:ascii="Times New Roman" w:hAnsi="Times New Roman" w:cs="Times New Roman"/>
          <w:sz w:val="24"/>
          <w:lang w:val="es-ES"/>
        </w:rPr>
        <w:t>grado</w:t>
      </w:r>
      <w:r>
        <w:rPr>
          <w:rFonts w:ascii="Times New Roman" w:hAnsi="Times New Roman" w:cs="Times New Roman"/>
          <w:sz w:val="24"/>
          <w:lang w:val="es-ES"/>
        </w:rPr>
        <w:t xml:space="preserve"> en el área de matemáticas, el cual hasta el 2013 no ha podido superar los 40 puntos en base a 100. Según un informe de rendimiento académico de la ONU sobre Honduras, el promedio de los alumnos de sexto grado es de </w:t>
      </w:r>
      <w:r>
        <w:t xml:space="preserve">57% para el año 2013. </w:t>
      </w:r>
      <w:sdt>
        <w:sdtPr>
          <w:id w:val="467874288"/>
          <w:citation/>
        </w:sdtPr>
        <w:sdtContent>
          <w:r>
            <w:fldChar w:fldCharType="begin"/>
          </w:r>
          <w:r>
            <w:rPr>
              <w:lang w:val="es-ES"/>
            </w:rPr>
            <w:instrText xml:space="preserve"> CITATION ONU13 \l 3082 </w:instrText>
          </w:r>
          <w:r>
            <w:fldChar w:fldCharType="separate"/>
          </w:r>
          <w:r w:rsidR="00EE357F">
            <w:rPr>
              <w:b/>
              <w:bCs/>
              <w:noProof/>
              <w:lang w:val="es-ES"/>
            </w:rPr>
            <w:t>Fuente especificada no válida.</w:t>
          </w:r>
          <w:r>
            <w:fldChar w:fldCharType="end"/>
          </w:r>
        </w:sdtContent>
      </w:sdt>
      <w:r>
        <w:t>.</w:t>
      </w:r>
    </w:p>
    <w:p w:rsidR="002D1304" w:rsidRDefault="002D1304" w:rsidP="002D1304">
      <w:pPr>
        <w:spacing w:line="480" w:lineRule="auto"/>
        <w:ind w:firstLine="708"/>
      </w:pPr>
      <w:r>
        <w:rPr>
          <w:rFonts w:ascii="Times New Roman" w:hAnsi="Times New Roman" w:cs="Times New Roman"/>
          <w:sz w:val="24"/>
        </w:rPr>
        <w:t>Promedio académico del área de matemáticas en el séptimo octavo y noveno grado para los años 2010-2012 y 2013. Ver gráfico #1 y #2.</w:t>
      </w:r>
    </w:p>
    <w:p w:rsidR="002C5146" w:rsidRDefault="002D1304" w:rsidP="002C5146">
      <w:pPr>
        <w:spacing w:line="240" w:lineRule="auto"/>
        <w:jc w:val="center"/>
        <w:rPr>
          <w:rFonts w:ascii="Times New Roman" w:hAnsi="Times New Roman" w:cs="Times New Roman"/>
          <w:sz w:val="20"/>
          <w:lang w:val="es-ES"/>
        </w:rPr>
      </w:pPr>
      <w:r>
        <w:rPr>
          <w:noProof/>
        </w:rPr>
        <w:drawing>
          <wp:inline distT="0" distB="0" distL="0" distR="0">
            <wp:extent cx="2674962" cy="1631031"/>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l="36082" t="38025" r="17706" b="21037"/>
                    <a:stretch>
                      <a:fillRect/>
                    </a:stretch>
                  </pic:blipFill>
                  <pic:spPr bwMode="auto">
                    <a:xfrm>
                      <a:off x="0" y="0"/>
                      <a:ext cx="2690193" cy="1640318"/>
                    </a:xfrm>
                    <a:prstGeom prst="rect">
                      <a:avLst/>
                    </a:prstGeom>
                    <a:noFill/>
                    <a:ln>
                      <a:noFill/>
                    </a:ln>
                  </pic:spPr>
                </pic:pic>
              </a:graphicData>
            </a:graphic>
          </wp:inline>
        </w:drawing>
      </w:r>
      <w:r>
        <w:rPr>
          <w:rFonts w:ascii="Times New Roman" w:hAnsi="Times New Roman" w:cs="Times New Roman"/>
          <w:sz w:val="20"/>
          <w:lang w:val="es-ES"/>
        </w:rPr>
        <w:br/>
        <w:t>Grafico #1 Rendimiento Académico del área de Matemáticas a nivel nacional.</w:t>
      </w:r>
      <w:r>
        <w:rPr>
          <w:rFonts w:ascii="Times New Roman" w:hAnsi="Times New Roman" w:cs="Times New Roman"/>
          <w:sz w:val="20"/>
          <w:lang w:val="es-ES"/>
        </w:rPr>
        <w:br/>
      </w:r>
      <w:r>
        <w:rPr>
          <w:rFonts w:ascii="Times New Roman" w:hAnsi="Times New Roman" w:cs="Times New Roman"/>
          <w:noProof/>
          <w:sz w:val="24"/>
          <w:lang w:val="es-ES"/>
        </w:rPr>
        <w:drawing>
          <wp:inline distT="0" distB="0" distL="0" distR="0">
            <wp:extent cx="2585720" cy="1597607"/>
            <wp:effectExtent l="0" t="0" r="5080" b="3175"/>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captura de pantalla&#10;&#10;Descripción generada con confianza muy alt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724" r="11310" b="20474"/>
                    <a:stretch/>
                  </pic:blipFill>
                  <pic:spPr bwMode="auto">
                    <a:xfrm>
                      <a:off x="0" y="0"/>
                      <a:ext cx="2596638" cy="1604353"/>
                    </a:xfrm>
                    <a:prstGeom prst="rect">
                      <a:avLst/>
                    </a:prstGeom>
                    <a:noFill/>
                    <a:ln>
                      <a:noFill/>
                    </a:ln>
                    <a:extLst>
                      <a:ext uri="{53640926-AAD7-44D8-BBD7-CCE9431645EC}">
                        <a14:shadowObscured xmlns:a14="http://schemas.microsoft.com/office/drawing/2010/main"/>
                      </a:ext>
                    </a:extLst>
                  </pic:spPr>
                </pic:pic>
              </a:graphicData>
            </a:graphic>
          </wp:inline>
        </w:drawing>
      </w:r>
    </w:p>
    <w:p w:rsidR="002D1304" w:rsidRDefault="002D1304" w:rsidP="00077633">
      <w:pPr>
        <w:spacing w:line="240" w:lineRule="auto"/>
        <w:jc w:val="center"/>
        <w:rPr>
          <w:rFonts w:ascii="Times New Roman" w:hAnsi="Times New Roman" w:cs="Times New Roman"/>
          <w:sz w:val="20"/>
          <w:lang w:val="es-ES"/>
        </w:rPr>
      </w:pPr>
      <w:r>
        <w:rPr>
          <w:rFonts w:ascii="Times New Roman" w:hAnsi="Times New Roman" w:cs="Times New Roman"/>
          <w:sz w:val="20"/>
          <w:lang w:val="es-ES"/>
        </w:rPr>
        <w:t xml:space="preserve">Gráfico #2 Promedio académico del Área de Español y Matemáticas en pruebas anuales de la Secretaria de Educación. </w:t>
      </w:r>
      <w:sdt>
        <w:sdtPr>
          <w:rPr>
            <w:rFonts w:ascii="Times New Roman" w:hAnsi="Times New Roman" w:cs="Times New Roman"/>
            <w:sz w:val="20"/>
            <w:lang w:val="es-ES"/>
          </w:rPr>
          <w:id w:val="27916609"/>
          <w:citation/>
        </w:sdtPr>
        <w:sdtContent>
          <w:r>
            <w:rPr>
              <w:rFonts w:ascii="Times New Roman" w:hAnsi="Times New Roman" w:cs="Times New Roman"/>
              <w:sz w:val="20"/>
              <w:lang w:val="es-ES"/>
            </w:rPr>
            <w:fldChar w:fldCharType="begin"/>
          </w:r>
          <w:r>
            <w:rPr>
              <w:rFonts w:ascii="Times New Roman" w:hAnsi="Times New Roman" w:cs="Times New Roman"/>
              <w:sz w:val="20"/>
              <w:lang w:val="es-ES"/>
            </w:rPr>
            <w:instrText xml:space="preserve"> CITATION elh17 \l 3082 </w:instrText>
          </w:r>
          <w:r>
            <w:rPr>
              <w:rFonts w:ascii="Times New Roman" w:hAnsi="Times New Roman" w:cs="Times New Roman"/>
              <w:sz w:val="20"/>
              <w:lang w:val="es-ES"/>
            </w:rPr>
            <w:fldChar w:fldCharType="separate"/>
          </w:r>
          <w:r w:rsidR="00EE357F">
            <w:rPr>
              <w:rFonts w:ascii="Times New Roman" w:hAnsi="Times New Roman" w:cs="Times New Roman"/>
              <w:b/>
              <w:bCs/>
              <w:noProof/>
              <w:sz w:val="20"/>
              <w:lang w:val="es-ES"/>
            </w:rPr>
            <w:t>Fuente especificada no válida.</w:t>
          </w:r>
          <w:r>
            <w:rPr>
              <w:rFonts w:ascii="Times New Roman" w:hAnsi="Times New Roman" w:cs="Times New Roman"/>
              <w:sz w:val="20"/>
              <w:lang w:val="es-ES"/>
            </w:rPr>
            <w:fldChar w:fldCharType="end"/>
          </w:r>
        </w:sdtContent>
      </w:sdt>
    </w:p>
    <w:p w:rsidR="00077633" w:rsidRDefault="002C5146" w:rsidP="006E1A5F">
      <w:pPr>
        <w:spacing w:line="480" w:lineRule="auto"/>
        <w:ind w:firstLine="420"/>
        <w:rPr>
          <w:rFonts w:ascii="Times New Roman" w:hAnsi="Times New Roman" w:cs="Times New Roman"/>
          <w:sz w:val="24"/>
        </w:rPr>
      </w:pPr>
      <w:r>
        <w:rPr>
          <w:rFonts w:ascii="Times New Roman" w:hAnsi="Times New Roman" w:cs="Times New Roman"/>
          <w:sz w:val="24"/>
        </w:rPr>
        <w:lastRenderedPageBreak/>
        <w:t xml:space="preserve">1.1.2 Deserción Escolar. </w:t>
      </w:r>
      <w:r w:rsidR="00077633">
        <w:rPr>
          <w:rFonts w:ascii="Times New Roman" w:hAnsi="Times New Roman" w:cs="Times New Roman"/>
          <w:sz w:val="24"/>
        </w:rPr>
        <w:t xml:space="preserve">Para el mes de agosto del año 2018 el Sistemas de Administración de Centros Educativos (SACE) de la Secretaria de Educación de Honduras registró un total de 17,462 estudiantes que ya habían abandonado los centros educativos </w:t>
      </w:r>
      <w:r w:rsidR="00CC6998">
        <w:rPr>
          <w:rFonts w:ascii="Times New Roman" w:hAnsi="Times New Roman" w:cs="Times New Roman"/>
          <w:sz w:val="24"/>
        </w:rPr>
        <w:t>, según el ministro de educación, algunas de los factores que provocan este problema es la migración ,el trabajo infantil , la violencia escolar y generalizada , los embarazos en adolescentes , la pobreza entre otros, en los últimos tres años se han registrado</w:t>
      </w:r>
      <w:sdt>
        <w:sdtPr>
          <w:rPr>
            <w:rFonts w:ascii="Times New Roman" w:hAnsi="Times New Roman" w:cs="Times New Roman"/>
            <w:sz w:val="24"/>
          </w:rPr>
          <w:id w:val="-1869205078"/>
          <w:citation/>
        </w:sdtPr>
        <w:sdtContent>
          <w:r w:rsidR="00CC6998">
            <w:rPr>
              <w:rFonts w:ascii="Times New Roman" w:hAnsi="Times New Roman" w:cs="Times New Roman"/>
              <w:sz w:val="24"/>
            </w:rPr>
            <w:fldChar w:fldCharType="begin"/>
          </w:r>
          <w:r w:rsidR="00CC6998">
            <w:rPr>
              <w:rFonts w:ascii="Times New Roman" w:hAnsi="Times New Roman" w:cs="Times New Roman"/>
              <w:sz w:val="24"/>
              <w:lang w:val="es-ES"/>
            </w:rPr>
            <w:instrText xml:space="preserve"> CITATION LAP181 \l 3082 </w:instrText>
          </w:r>
          <w:r w:rsidR="00CC6998">
            <w:rPr>
              <w:rFonts w:ascii="Times New Roman" w:hAnsi="Times New Roman" w:cs="Times New Roman"/>
              <w:sz w:val="24"/>
            </w:rPr>
            <w:fldChar w:fldCharType="separate"/>
          </w:r>
          <w:r w:rsidR="00CC6998">
            <w:rPr>
              <w:rFonts w:ascii="Times New Roman" w:hAnsi="Times New Roman" w:cs="Times New Roman"/>
              <w:noProof/>
              <w:sz w:val="24"/>
              <w:lang w:val="es-ES"/>
            </w:rPr>
            <w:t xml:space="preserve"> </w:t>
          </w:r>
          <w:r w:rsidR="00CC6998" w:rsidRPr="00CC6998">
            <w:rPr>
              <w:rFonts w:ascii="Times New Roman" w:hAnsi="Times New Roman" w:cs="Times New Roman"/>
              <w:noProof/>
              <w:sz w:val="24"/>
              <w:lang w:val="es-ES"/>
            </w:rPr>
            <w:t>(LAPRENSA, 2018)</w:t>
          </w:r>
          <w:r w:rsidR="00CC6998">
            <w:rPr>
              <w:rFonts w:ascii="Times New Roman" w:hAnsi="Times New Roman" w:cs="Times New Roman"/>
              <w:sz w:val="24"/>
            </w:rPr>
            <w:fldChar w:fldCharType="end"/>
          </w:r>
        </w:sdtContent>
      </w:sdt>
      <w:r w:rsidR="00CC6998">
        <w:rPr>
          <w:rFonts w:ascii="Times New Roman" w:hAnsi="Times New Roman" w:cs="Times New Roman"/>
          <w:sz w:val="24"/>
        </w:rPr>
        <w:t xml:space="preserve">. </w:t>
      </w:r>
    </w:p>
    <w:p w:rsidR="00B76B5E" w:rsidRDefault="008F55B7" w:rsidP="00B76B5E">
      <w:pPr>
        <w:spacing w:line="480" w:lineRule="auto"/>
        <w:ind w:firstLine="420"/>
        <w:rPr>
          <w:rFonts w:ascii="Times New Roman" w:hAnsi="Times New Roman" w:cs="Times New Roman"/>
          <w:sz w:val="24"/>
        </w:rPr>
      </w:pPr>
      <w:r>
        <w:rPr>
          <w:rFonts w:ascii="Times New Roman" w:hAnsi="Times New Roman" w:cs="Times New Roman"/>
          <w:sz w:val="24"/>
        </w:rPr>
        <w:t>1.1.3 Cierre de Centros Educativos</w:t>
      </w:r>
      <w:r w:rsidR="00016409">
        <w:rPr>
          <w:rFonts w:ascii="Times New Roman" w:hAnsi="Times New Roman" w:cs="Times New Roman"/>
          <w:sz w:val="24"/>
        </w:rPr>
        <w:t xml:space="preserve">. </w:t>
      </w:r>
      <w:r w:rsidR="00B76B5E">
        <w:rPr>
          <w:rFonts w:ascii="Times New Roman" w:hAnsi="Times New Roman" w:cs="Times New Roman"/>
          <w:sz w:val="24"/>
        </w:rPr>
        <w:t xml:space="preserve">A causa de problemas legales y administrativos en el 2014 fueron cerrados 23 centros educativos privados de Francisco Morazán y 17 centros más estuvieron en proceso de supervisión </w:t>
      </w:r>
      <w:sdt>
        <w:sdtPr>
          <w:rPr>
            <w:rFonts w:ascii="Times New Roman" w:hAnsi="Times New Roman" w:cs="Times New Roman"/>
            <w:sz w:val="24"/>
          </w:rPr>
          <w:id w:val="931246399"/>
          <w:citation/>
        </w:sdtPr>
        <w:sdtContent>
          <w:r w:rsidR="00B76B5E">
            <w:rPr>
              <w:rFonts w:ascii="Times New Roman" w:hAnsi="Times New Roman" w:cs="Times New Roman"/>
              <w:sz w:val="24"/>
            </w:rPr>
            <w:fldChar w:fldCharType="begin"/>
          </w:r>
          <w:r w:rsidR="00B76B5E">
            <w:rPr>
              <w:rFonts w:ascii="Times New Roman" w:hAnsi="Times New Roman" w:cs="Times New Roman"/>
              <w:sz w:val="24"/>
              <w:lang w:val="es-ES"/>
            </w:rPr>
            <w:instrText xml:space="preserve"> CITATION ELH14 \l 3082 </w:instrText>
          </w:r>
          <w:r w:rsidR="00B76B5E">
            <w:rPr>
              <w:rFonts w:ascii="Times New Roman" w:hAnsi="Times New Roman" w:cs="Times New Roman"/>
              <w:sz w:val="24"/>
            </w:rPr>
            <w:fldChar w:fldCharType="separate"/>
          </w:r>
          <w:r w:rsidR="00B76B5E" w:rsidRPr="00B76B5E">
            <w:rPr>
              <w:rFonts w:ascii="Times New Roman" w:hAnsi="Times New Roman" w:cs="Times New Roman"/>
              <w:noProof/>
              <w:sz w:val="24"/>
              <w:lang w:val="es-ES"/>
            </w:rPr>
            <w:t>(ELHERALDO, 2014)</w:t>
          </w:r>
          <w:r w:rsidR="00B76B5E">
            <w:rPr>
              <w:rFonts w:ascii="Times New Roman" w:hAnsi="Times New Roman" w:cs="Times New Roman"/>
              <w:sz w:val="24"/>
            </w:rPr>
            <w:fldChar w:fldCharType="end"/>
          </w:r>
        </w:sdtContent>
      </w:sdt>
      <w:r w:rsidR="00B76B5E">
        <w:rPr>
          <w:rFonts w:ascii="Times New Roman" w:hAnsi="Times New Roman" w:cs="Times New Roman"/>
          <w:sz w:val="24"/>
        </w:rPr>
        <w:t xml:space="preserve">.  </w:t>
      </w:r>
      <w:r w:rsidR="00016409">
        <w:rPr>
          <w:rFonts w:ascii="Times New Roman" w:hAnsi="Times New Roman" w:cs="Times New Roman"/>
          <w:sz w:val="24"/>
        </w:rPr>
        <w:t>Debido a la</w:t>
      </w:r>
      <w:r w:rsidR="0001790A">
        <w:rPr>
          <w:rFonts w:ascii="Times New Roman" w:hAnsi="Times New Roman" w:cs="Times New Roman"/>
          <w:sz w:val="24"/>
        </w:rPr>
        <w:t>s</w:t>
      </w:r>
      <w:r w:rsidR="006E0E01">
        <w:rPr>
          <w:rFonts w:ascii="Times New Roman" w:hAnsi="Times New Roman" w:cs="Times New Roman"/>
          <w:sz w:val="24"/>
        </w:rPr>
        <w:t xml:space="preserve"> malas</w:t>
      </w:r>
      <w:r w:rsidR="0001790A">
        <w:rPr>
          <w:rFonts w:ascii="Times New Roman" w:hAnsi="Times New Roman" w:cs="Times New Roman"/>
          <w:sz w:val="24"/>
        </w:rPr>
        <w:t xml:space="preserve"> condiciones de infraestructura </w:t>
      </w:r>
      <w:r w:rsidR="006E0E01">
        <w:rPr>
          <w:rFonts w:ascii="Times New Roman" w:hAnsi="Times New Roman" w:cs="Times New Roman"/>
          <w:sz w:val="24"/>
        </w:rPr>
        <w:t>y</w:t>
      </w:r>
      <w:r w:rsidR="00016409">
        <w:rPr>
          <w:rFonts w:ascii="Times New Roman" w:hAnsi="Times New Roman" w:cs="Times New Roman"/>
          <w:sz w:val="24"/>
        </w:rPr>
        <w:t xml:space="preserve"> </w:t>
      </w:r>
      <w:r w:rsidR="006E0E01">
        <w:rPr>
          <w:rFonts w:ascii="Times New Roman" w:hAnsi="Times New Roman" w:cs="Times New Roman"/>
          <w:sz w:val="24"/>
        </w:rPr>
        <w:t xml:space="preserve">la </w:t>
      </w:r>
      <w:r w:rsidR="00016409">
        <w:rPr>
          <w:rFonts w:ascii="Times New Roman" w:hAnsi="Times New Roman" w:cs="Times New Roman"/>
          <w:sz w:val="24"/>
        </w:rPr>
        <w:t>baja matrícula que se registró en varios centros educativos de San Pedro Sula, 13 centros educativos privados se vieron obligados a cerrar sus operaciones</w:t>
      </w:r>
      <w:r w:rsidR="00B76B5E">
        <w:rPr>
          <w:rFonts w:ascii="Times New Roman" w:hAnsi="Times New Roman" w:cs="Times New Roman"/>
          <w:sz w:val="24"/>
        </w:rPr>
        <w:t xml:space="preserve"> en el año 2017</w:t>
      </w:r>
      <w:sdt>
        <w:sdtPr>
          <w:rPr>
            <w:rFonts w:ascii="Times New Roman" w:hAnsi="Times New Roman" w:cs="Times New Roman"/>
            <w:sz w:val="24"/>
          </w:rPr>
          <w:id w:val="1935939474"/>
          <w:citation/>
        </w:sdtPr>
        <w:sdtContent>
          <w:r w:rsidR="00B76B5E">
            <w:rPr>
              <w:rFonts w:ascii="Times New Roman" w:hAnsi="Times New Roman" w:cs="Times New Roman"/>
              <w:sz w:val="24"/>
            </w:rPr>
            <w:fldChar w:fldCharType="begin"/>
          </w:r>
          <w:r w:rsidR="00B76B5E">
            <w:rPr>
              <w:rFonts w:ascii="Times New Roman" w:hAnsi="Times New Roman" w:cs="Times New Roman"/>
              <w:sz w:val="24"/>
              <w:lang w:val="es-ES"/>
            </w:rPr>
            <w:instrText xml:space="preserve"> CITATION LAP182 \l 3082 </w:instrText>
          </w:r>
          <w:r w:rsidR="00B76B5E">
            <w:rPr>
              <w:rFonts w:ascii="Times New Roman" w:hAnsi="Times New Roman" w:cs="Times New Roman"/>
              <w:sz w:val="24"/>
            </w:rPr>
            <w:fldChar w:fldCharType="separate"/>
          </w:r>
          <w:r w:rsidR="00B76B5E">
            <w:rPr>
              <w:rFonts w:ascii="Times New Roman" w:hAnsi="Times New Roman" w:cs="Times New Roman"/>
              <w:noProof/>
              <w:sz w:val="24"/>
              <w:lang w:val="es-ES"/>
            </w:rPr>
            <w:t xml:space="preserve"> </w:t>
          </w:r>
          <w:r w:rsidR="00B76B5E" w:rsidRPr="00B76B5E">
            <w:rPr>
              <w:rFonts w:ascii="Times New Roman" w:hAnsi="Times New Roman" w:cs="Times New Roman"/>
              <w:noProof/>
              <w:sz w:val="24"/>
              <w:lang w:val="es-ES"/>
            </w:rPr>
            <w:t>(LAPRENSA, 2018)</w:t>
          </w:r>
          <w:r w:rsidR="00B76B5E">
            <w:rPr>
              <w:rFonts w:ascii="Times New Roman" w:hAnsi="Times New Roman" w:cs="Times New Roman"/>
              <w:sz w:val="24"/>
            </w:rPr>
            <w:fldChar w:fldCharType="end"/>
          </w:r>
        </w:sdtContent>
      </w:sdt>
      <w:r w:rsidR="00016409">
        <w:rPr>
          <w:rFonts w:ascii="Times New Roman" w:hAnsi="Times New Roman" w:cs="Times New Roman"/>
          <w:sz w:val="24"/>
        </w:rPr>
        <w:t>,</w:t>
      </w:r>
      <w:r w:rsidR="00B76B5E" w:rsidRPr="00B76B5E">
        <w:rPr>
          <w:rFonts w:ascii="Times New Roman" w:hAnsi="Times New Roman" w:cs="Times New Roman"/>
          <w:sz w:val="24"/>
        </w:rPr>
        <w:t xml:space="preserve"> </w:t>
      </w:r>
      <w:r w:rsidR="00B76B5E">
        <w:rPr>
          <w:rFonts w:ascii="Times New Roman" w:hAnsi="Times New Roman" w:cs="Times New Roman"/>
          <w:sz w:val="24"/>
        </w:rPr>
        <w:t xml:space="preserve">El instituto INTAE de San Pedro Sula decidido cerrar en el 2015 la modalidad nocturna por la baja cantidad de matrículas que se reportan desde el año 2013, a lo cual los </w:t>
      </w:r>
      <w:r w:rsidR="009E63D7">
        <w:rPr>
          <w:rFonts w:ascii="Times New Roman" w:hAnsi="Times New Roman" w:cs="Times New Roman"/>
          <w:sz w:val="24"/>
        </w:rPr>
        <w:t xml:space="preserve">186 </w:t>
      </w:r>
      <w:r w:rsidR="00B76B5E">
        <w:rPr>
          <w:rFonts w:ascii="Times New Roman" w:hAnsi="Times New Roman" w:cs="Times New Roman"/>
          <w:sz w:val="24"/>
        </w:rPr>
        <w:t>estudiantes fueron traslados a otros institutos en la modalidad de educación a distancia</w:t>
      </w:r>
      <w:r w:rsidR="009E63D7">
        <w:rPr>
          <w:rFonts w:ascii="Times New Roman" w:hAnsi="Times New Roman" w:cs="Times New Roman"/>
          <w:sz w:val="24"/>
        </w:rPr>
        <w:t xml:space="preserve"> </w:t>
      </w:r>
      <w:sdt>
        <w:sdtPr>
          <w:rPr>
            <w:rFonts w:ascii="Times New Roman" w:hAnsi="Times New Roman" w:cs="Times New Roman"/>
            <w:sz w:val="24"/>
          </w:rPr>
          <w:id w:val="477417238"/>
          <w:citation/>
        </w:sdtPr>
        <w:sdtContent>
          <w:r w:rsidR="009E63D7">
            <w:rPr>
              <w:rFonts w:ascii="Times New Roman" w:hAnsi="Times New Roman" w:cs="Times New Roman"/>
              <w:sz w:val="24"/>
            </w:rPr>
            <w:fldChar w:fldCharType="begin"/>
          </w:r>
          <w:r w:rsidR="009E63D7">
            <w:rPr>
              <w:rFonts w:ascii="Times New Roman" w:hAnsi="Times New Roman" w:cs="Times New Roman"/>
              <w:sz w:val="24"/>
              <w:lang w:val="es-ES"/>
            </w:rPr>
            <w:instrText xml:space="preserve"> CITATION ELH151 \l 3082 </w:instrText>
          </w:r>
          <w:r w:rsidR="009E63D7">
            <w:rPr>
              <w:rFonts w:ascii="Times New Roman" w:hAnsi="Times New Roman" w:cs="Times New Roman"/>
              <w:sz w:val="24"/>
            </w:rPr>
            <w:fldChar w:fldCharType="separate"/>
          </w:r>
          <w:r w:rsidR="009E63D7" w:rsidRPr="009E63D7">
            <w:rPr>
              <w:rFonts w:ascii="Times New Roman" w:hAnsi="Times New Roman" w:cs="Times New Roman"/>
              <w:noProof/>
              <w:sz w:val="24"/>
              <w:lang w:val="es-ES"/>
            </w:rPr>
            <w:t>(ELHERALDO, 2015)</w:t>
          </w:r>
          <w:r w:rsidR="009E63D7">
            <w:rPr>
              <w:rFonts w:ascii="Times New Roman" w:hAnsi="Times New Roman" w:cs="Times New Roman"/>
              <w:sz w:val="24"/>
            </w:rPr>
            <w:fldChar w:fldCharType="end"/>
          </w:r>
        </w:sdtContent>
      </w:sdt>
      <w:r w:rsidR="00B76B5E">
        <w:rPr>
          <w:rFonts w:ascii="Times New Roman" w:hAnsi="Times New Roman" w:cs="Times New Roman"/>
          <w:sz w:val="24"/>
        </w:rPr>
        <w:t xml:space="preserve">. </w:t>
      </w:r>
    </w:p>
    <w:p w:rsidR="009E63D7" w:rsidRDefault="009E63D7" w:rsidP="00B76B5E">
      <w:pPr>
        <w:spacing w:line="480" w:lineRule="auto"/>
        <w:ind w:firstLine="420"/>
        <w:rPr>
          <w:rFonts w:ascii="Times New Roman" w:hAnsi="Times New Roman" w:cs="Times New Roman"/>
          <w:sz w:val="24"/>
        </w:rPr>
      </w:pPr>
      <w:r>
        <w:rPr>
          <w:rFonts w:ascii="Times New Roman" w:hAnsi="Times New Roman" w:cs="Times New Roman"/>
          <w:sz w:val="24"/>
        </w:rPr>
        <w:t xml:space="preserve">1.1.4 </w:t>
      </w:r>
      <w:r w:rsidR="000E158F">
        <w:rPr>
          <w:rFonts w:ascii="Times New Roman" w:hAnsi="Times New Roman" w:cs="Times New Roman"/>
          <w:sz w:val="24"/>
        </w:rPr>
        <w:t>P</w:t>
      </w:r>
      <w:r>
        <w:rPr>
          <w:rFonts w:ascii="Times New Roman" w:hAnsi="Times New Roman" w:cs="Times New Roman"/>
          <w:sz w:val="24"/>
        </w:rPr>
        <w:t xml:space="preserve">érdida de matrículas. Según el Sistema de Administración de Centros Educativos (SACE), </w:t>
      </w:r>
      <w:r w:rsidR="000E158F">
        <w:rPr>
          <w:rFonts w:ascii="Times New Roman" w:hAnsi="Times New Roman" w:cs="Times New Roman"/>
          <w:sz w:val="24"/>
        </w:rPr>
        <w:t xml:space="preserve">cada año muchos estudiantes de los centros educativos privados abandonan su centro educativo y se trasladan a </w:t>
      </w:r>
      <w:r w:rsidR="00DC2942">
        <w:rPr>
          <w:rFonts w:ascii="Times New Roman" w:hAnsi="Times New Roman" w:cs="Times New Roman"/>
          <w:sz w:val="24"/>
        </w:rPr>
        <w:t>un</w:t>
      </w:r>
      <w:r w:rsidR="00A90244">
        <w:rPr>
          <w:rFonts w:ascii="Times New Roman" w:hAnsi="Times New Roman" w:cs="Times New Roman"/>
          <w:sz w:val="24"/>
        </w:rPr>
        <w:t xml:space="preserve"> centro </w:t>
      </w:r>
      <w:r w:rsidR="00DC2942">
        <w:rPr>
          <w:rFonts w:ascii="Times New Roman" w:hAnsi="Times New Roman" w:cs="Times New Roman"/>
          <w:sz w:val="24"/>
        </w:rPr>
        <w:t>gubernamental, en el año 2015 la deserción fue de mas de 4000 estudiantes y para el 2017 fueron más de 8800 los estudiantes que abandonaron los centros educativos privados</w:t>
      </w:r>
      <w:r w:rsidR="00A90244">
        <w:rPr>
          <w:rFonts w:ascii="Times New Roman" w:hAnsi="Times New Roman" w:cs="Times New Roman"/>
          <w:sz w:val="24"/>
        </w:rPr>
        <w:t xml:space="preserve"> </w:t>
      </w:r>
      <w:r w:rsidR="007511A3">
        <w:rPr>
          <w:rFonts w:ascii="Times New Roman" w:hAnsi="Times New Roman" w:cs="Times New Roman"/>
          <w:sz w:val="24"/>
        </w:rPr>
        <w:t>(</w:t>
      </w:r>
      <w:r w:rsidR="00A90244">
        <w:rPr>
          <w:rFonts w:ascii="Times New Roman" w:hAnsi="Times New Roman" w:cs="Times New Roman"/>
          <w:sz w:val="24"/>
        </w:rPr>
        <w:t>Ver tabla #1)</w:t>
      </w:r>
      <w:r w:rsidR="00DC2942">
        <w:rPr>
          <w:rFonts w:ascii="Times New Roman" w:hAnsi="Times New Roman" w:cs="Times New Roman"/>
          <w:sz w:val="24"/>
        </w:rPr>
        <w:t xml:space="preserve">. </w:t>
      </w:r>
    </w:p>
    <w:p w:rsidR="00A91936" w:rsidRDefault="009E63D7" w:rsidP="00A91936">
      <w:pPr>
        <w:spacing w:line="276" w:lineRule="auto"/>
        <w:ind w:firstLine="420"/>
        <w:jc w:val="center"/>
        <w:rPr>
          <w:rFonts w:ascii="Times New Roman" w:hAnsi="Times New Roman" w:cs="Times New Roman"/>
          <w:sz w:val="24"/>
        </w:rPr>
      </w:pPr>
      <w:r>
        <w:rPr>
          <w:noProof/>
        </w:rPr>
        <w:lastRenderedPageBreak/>
        <w:drawing>
          <wp:inline distT="0" distB="0" distL="0" distR="0" wp14:anchorId="15E93494" wp14:editId="2E92DC05">
            <wp:extent cx="3288544" cy="2306472"/>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859" t="14386" r="22769" b="15289"/>
                    <a:stretch/>
                  </pic:blipFill>
                  <pic:spPr bwMode="auto">
                    <a:xfrm>
                      <a:off x="0" y="0"/>
                      <a:ext cx="3312345" cy="2323165"/>
                    </a:xfrm>
                    <a:prstGeom prst="rect">
                      <a:avLst/>
                    </a:prstGeom>
                    <a:ln>
                      <a:noFill/>
                    </a:ln>
                    <a:extLst>
                      <a:ext uri="{53640926-AAD7-44D8-BBD7-CCE9431645EC}">
                        <a14:shadowObscured xmlns:a14="http://schemas.microsoft.com/office/drawing/2010/main"/>
                      </a:ext>
                    </a:extLst>
                  </pic:spPr>
                </pic:pic>
              </a:graphicData>
            </a:graphic>
          </wp:inline>
        </w:drawing>
      </w:r>
      <w:r w:rsidR="007511A3">
        <w:rPr>
          <w:rFonts w:ascii="Times New Roman" w:hAnsi="Times New Roman" w:cs="Times New Roman"/>
          <w:sz w:val="24"/>
        </w:rPr>
        <w:br/>
      </w:r>
      <w:r w:rsidR="00A91936">
        <w:rPr>
          <w:rFonts w:ascii="Times New Roman" w:hAnsi="Times New Roman" w:cs="Times New Roman"/>
          <w:sz w:val="24"/>
        </w:rPr>
        <w:t xml:space="preserve">Tabla #1 </w:t>
      </w:r>
      <w:r w:rsidR="007511A3">
        <w:rPr>
          <w:rFonts w:ascii="Times New Roman" w:hAnsi="Times New Roman" w:cs="Times New Roman"/>
          <w:sz w:val="24"/>
        </w:rPr>
        <w:t xml:space="preserve">Comparativo de la Matricula inicial y final en Centros Educativos </w:t>
      </w:r>
      <w:r w:rsidR="0011474B">
        <w:rPr>
          <w:rFonts w:ascii="Times New Roman" w:hAnsi="Times New Roman" w:cs="Times New Roman"/>
          <w:sz w:val="24"/>
        </w:rPr>
        <w:t>Privados</w:t>
      </w:r>
    </w:p>
    <w:p w:rsidR="00F52753" w:rsidRDefault="00F52753" w:rsidP="00F52753">
      <w:pPr>
        <w:spacing w:line="276" w:lineRule="auto"/>
        <w:ind w:firstLine="420"/>
        <w:rPr>
          <w:rFonts w:ascii="Times New Roman" w:hAnsi="Times New Roman" w:cs="Times New Roman"/>
          <w:sz w:val="24"/>
        </w:rPr>
      </w:pPr>
    </w:p>
    <w:p w:rsidR="00F52753" w:rsidRDefault="00F52753" w:rsidP="00F52753">
      <w:pPr>
        <w:spacing w:line="276" w:lineRule="auto"/>
        <w:rPr>
          <w:rFonts w:ascii="Times New Roman" w:hAnsi="Times New Roman" w:cs="Times New Roman"/>
          <w:sz w:val="24"/>
        </w:rPr>
      </w:pPr>
      <w:r>
        <w:rPr>
          <w:rFonts w:ascii="Times New Roman" w:hAnsi="Times New Roman" w:cs="Times New Roman"/>
          <w:sz w:val="24"/>
        </w:rPr>
        <w:t xml:space="preserve">1.2 Situación Problemática.  </w:t>
      </w:r>
    </w:p>
    <w:p w:rsidR="001253E3" w:rsidRDefault="00F52753" w:rsidP="002C50EE">
      <w:pPr>
        <w:spacing w:line="276" w:lineRule="auto"/>
        <w:rPr>
          <w:rFonts w:ascii="Times New Roman" w:hAnsi="Times New Roman" w:cs="Times New Roman"/>
          <w:sz w:val="24"/>
        </w:rPr>
      </w:pPr>
      <w:r>
        <w:rPr>
          <w:rFonts w:ascii="Times New Roman" w:hAnsi="Times New Roman" w:cs="Times New Roman"/>
          <w:sz w:val="24"/>
        </w:rPr>
        <w:tab/>
      </w:r>
    </w:p>
    <w:p w:rsidR="00E72329" w:rsidRDefault="00E72329" w:rsidP="00E72329">
      <w:pPr>
        <w:spacing w:line="480" w:lineRule="auto"/>
        <w:rPr>
          <w:rFonts w:ascii="Times New Roman" w:hAnsi="Times New Roman" w:cs="Times New Roman"/>
          <w:sz w:val="24"/>
        </w:rPr>
      </w:pPr>
      <w:r>
        <w:rPr>
          <w:rFonts w:ascii="Times New Roman" w:hAnsi="Times New Roman" w:cs="Times New Roman"/>
          <w:sz w:val="24"/>
        </w:rPr>
        <w:tab/>
        <w:t>Como se puede observar en la sección de antecedentes los centros educativos se enfrentan a una gran cantidad de problemas como ser: deserción escolar, bajas matriculas, rendimiento académico, problemas legales, financieros, de infraestructura e insostenibilidad, además de pérdidas de clases por problemas sociales y seguridad del país. Los directores de los centros educativos privados deben orientar sus estrategias de negocios, metas y objetivos a mitigar los problemas que más le afectan y perjudican. Es de suma importancia que estos directores o administradores de centros educativos cuenten con toda la información operacional, laboral y académica de la institución que dirigen para poder tomar las mejores decisiones en los momentos más oportunos.</w:t>
      </w:r>
    </w:p>
    <w:p w:rsidR="003126C1" w:rsidRDefault="001253E3" w:rsidP="006D3FA0">
      <w:pPr>
        <w:spacing w:line="480" w:lineRule="auto"/>
        <w:rPr>
          <w:rFonts w:ascii="Times New Roman" w:hAnsi="Times New Roman" w:cs="Times New Roman"/>
          <w:sz w:val="24"/>
        </w:rPr>
      </w:pPr>
      <w:r>
        <w:rPr>
          <w:rFonts w:ascii="Times New Roman" w:hAnsi="Times New Roman" w:cs="Times New Roman"/>
          <w:sz w:val="24"/>
        </w:rPr>
        <w:tab/>
        <w:t>El Instituto San José del Carmen</w:t>
      </w:r>
      <w:r w:rsidR="009E19F8">
        <w:rPr>
          <w:rFonts w:ascii="Times New Roman" w:hAnsi="Times New Roman" w:cs="Times New Roman"/>
          <w:sz w:val="24"/>
        </w:rPr>
        <w:t xml:space="preserve"> ha evolucionado en gran manera en sus 55 años de operaciones, tanto en infraestructura, en servicios, en modalidades, </w:t>
      </w:r>
      <w:r w:rsidR="00567636">
        <w:rPr>
          <w:rFonts w:ascii="Times New Roman" w:hAnsi="Times New Roman" w:cs="Times New Roman"/>
          <w:sz w:val="24"/>
        </w:rPr>
        <w:t>en</w:t>
      </w:r>
      <w:r w:rsidR="009E19F8">
        <w:rPr>
          <w:rFonts w:ascii="Times New Roman" w:hAnsi="Times New Roman" w:cs="Times New Roman"/>
          <w:sz w:val="24"/>
        </w:rPr>
        <w:t xml:space="preserve"> personal administrativo</w:t>
      </w:r>
      <w:r w:rsidR="00567636">
        <w:rPr>
          <w:rFonts w:ascii="Times New Roman" w:hAnsi="Times New Roman" w:cs="Times New Roman"/>
          <w:sz w:val="24"/>
        </w:rPr>
        <w:t>,</w:t>
      </w:r>
      <w:r w:rsidR="009E19F8">
        <w:rPr>
          <w:rFonts w:ascii="Times New Roman" w:hAnsi="Times New Roman" w:cs="Times New Roman"/>
          <w:sz w:val="24"/>
        </w:rPr>
        <w:t xml:space="preserve"> académico y clientes. Comenzó solo con tres aulas de clases</w:t>
      </w:r>
      <w:r w:rsidR="00567636">
        <w:rPr>
          <w:rFonts w:ascii="Times New Roman" w:hAnsi="Times New Roman" w:cs="Times New Roman"/>
          <w:sz w:val="24"/>
        </w:rPr>
        <w:t xml:space="preserve"> y </w:t>
      </w:r>
      <w:r w:rsidR="00A7363A">
        <w:rPr>
          <w:rFonts w:ascii="Times New Roman" w:hAnsi="Times New Roman" w:cs="Times New Roman"/>
          <w:sz w:val="24"/>
        </w:rPr>
        <w:t>tres docentes</w:t>
      </w:r>
      <w:r w:rsidR="009E19F8">
        <w:rPr>
          <w:rFonts w:ascii="Times New Roman" w:hAnsi="Times New Roman" w:cs="Times New Roman"/>
          <w:sz w:val="24"/>
        </w:rPr>
        <w:t xml:space="preserve"> </w:t>
      </w:r>
      <w:r w:rsidR="00567636">
        <w:rPr>
          <w:rFonts w:ascii="Times New Roman" w:hAnsi="Times New Roman" w:cs="Times New Roman"/>
          <w:sz w:val="24"/>
        </w:rPr>
        <w:t xml:space="preserve">impartiendo </w:t>
      </w:r>
      <w:r w:rsidR="009E19F8">
        <w:rPr>
          <w:rFonts w:ascii="Times New Roman" w:hAnsi="Times New Roman" w:cs="Times New Roman"/>
          <w:sz w:val="24"/>
        </w:rPr>
        <w:t xml:space="preserve">kínder, primer y segundo grado, hoy en </w:t>
      </w:r>
      <w:r w:rsidR="00567636">
        <w:rPr>
          <w:rFonts w:ascii="Times New Roman" w:hAnsi="Times New Roman" w:cs="Times New Roman"/>
          <w:sz w:val="24"/>
        </w:rPr>
        <w:t>día</w:t>
      </w:r>
      <w:r w:rsidR="009E19F8">
        <w:rPr>
          <w:rFonts w:ascii="Times New Roman" w:hAnsi="Times New Roman" w:cs="Times New Roman"/>
          <w:sz w:val="24"/>
        </w:rPr>
        <w:t xml:space="preserve"> brinda </w:t>
      </w:r>
      <w:r w:rsidR="007F1552">
        <w:rPr>
          <w:rFonts w:ascii="Times New Roman" w:hAnsi="Times New Roman" w:cs="Times New Roman"/>
          <w:sz w:val="24"/>
        </w:rPr>
        <w:t>13</w:t>
      </w:r>
      <w:r w:rsidR="009E19F8">
        <w:rPr>
          <w:rFonts w:ascii="Times New Roman" w:hAnsi="Times New Roman" w:cs="Times New Roman"/>
          <w:sz w:val="24"/>
        </w:rPr>
        <w:t xml:space="preserve"> grado</w:t>
      </w:r>
      <w:r w:rsidR="00567636">
        <w:rPr>
          <w:rFonts w:ascii="Times New Roman" w:hAnsi="Times New Roman" w:cs="Times New Roman"/>
          <w:sz w:val="24"/>
        </w:rPr>
        <w:t>s</w:t>
      </w:r>
      <w:r w:rsidR="009E19F8">
        <w:rPr>
          <w:rFonts w:ascii="Times New Roman" w:hAnsi="Times New Roman" w:cs="Times New Roman"/>
          <w:sz w:val="24"/>
        </w:rPr>
        <w:t xml:space="preserve"> escolares en dos modalidades</w:t>
      </w:r>
      <w:r w:rsidR="00567636">
        <w:rPr>
          <w:rFonts w:ascii="Times New Roman" w:hAnsi="Times New Roman" w:cs="Times New Roman"/>
          <w:sz w:val="24"/>
        </w:rPr>
        <w:t xml:space="preserve"> diferentes</w:t>
      </w:r>
      <w:r w:rsidR="009E19F8">
        <w:rPr>
          <w:rFonts w:ascii="Times New Roman" w:hAnsi="Times New Roman" w:cs="Times New Roman"/>
          <w:sz w:val="24"/>
        </w:rPr>
        <w:t xml:space="preserve"> (</w:t>
      </w:r>
      <w:r w:rsidR="00567636">
        <w:rPr>
          <w:rFonts w:ascii="Times New Roman" w:hAnsi="Times New Roman" w:cs="Times New Roman"/>
          <w:sz w:val="24"/>
        </w:rPr>
        <w:t>inglés</w:t>
      </w:r>
      <w:r w:rsidR="009E19F8">
        <w:rPr>
          <w:rFonts w:ascii="Times New Roman" w:hAnsi="Times New Roman" w:cs="Times New Roman"/>
          <w:sz w:val="24"/>
        </w:rPr>
        <w:t xml:space="preserve"> y español) distribuidos en tres </w:t>
      </w:r>
      <w:r w:rsidR="00567636">
        <w:rPr>
          <w:rFonts w:ascii="Times New Roman" w:hAnsi="Times New Roman" w:cs="Times New Roman"/>
          <w:sz w:val="24"/>
        </w:rPr>
        <w:t xml:space="preserve">amplios </w:t>
      </w:r>
      <w:r w:rsidR="009E19F8">
        <w:rPr>
          <w:rFonts w:ascii="Times New Roman" w:hAnsi="Times New Roman" w:cs="Times New Roman"/>
          <w:sz w:val="24"/>
        </w:rPr>
        <w:lastRenderedPageBreak/>
        <w:t>edificios</w:t>
      </w:r>
      <w:r w:rsidR="00567636">
        <w:rPr>
          <w:rFonts w:ascii="Times New Roman" w:hAnsi="Times New Roman" w:cs="Times New Roman"/>
          <w:sz w:val="24"/>
        </w:rPr>
        <w:t xml:space="preserve"> con </w:t>
      </w:r>
      <w:r w:rsidR="00A7363A">
        <w:rPr>
          <w:rFonts w:ascii="Times New Roman" w:hAnsi="Times New Roman" w:cs="Times New Roman"/>
          <w:sz w:val="24"/>
        </w:rPr>
        <w:t>más</w:t>
      </w:r>
      <w:r w:rsidR="00567636">
        <w:rPr>
          <w:rFonts w:ascii="Times New Roman" w:hAnsi="Times New Roman" w:cs="Times New Roman"/>
          <w:sz w:val="24"/>
        </w:rPr>
        <w:t xml:space="preserve"> de </w:t>
      </w:r>
      <w:r w:rsidR="008B2BA8">
        <w:rPr>
          <w:rFonts w:ascii="Times New Roman" w:hAnsi="Times New Roman" w:cs="Times New Roman"/>
          <w:sz w:val="24"/>
        </w:rPr>
        <w:t>1</w:t>
      </w:r>
      <w:r w:rsidR="002C50EE">
        <w:rPr>
          <w:rFonts w:ascii="Times New Roman" w:hAnsi="Times New Roman" w:cs="Times New Roman"/>
          <w:sz w:val="24"/>
        </w:rPr>
        <w:t>3</w:t>
      </w:r>
      <w:r w:rsidR="008B2BA8">
        <w:rPr>
          <w:rFonts w:ascii="Times New Roman" w:hAnsi="Times New Roman" w:cs="Times New Roman"/>
          <w:sz w:val="24"/>
        </w:rPr>
        <w:t xml:space="preserve">00 </w:t>
      </w:r>
      <w:r w:rsidR="002C50EE">
        <w:rPr>
          <w:rFonts w:ascii="Times New Roman" w:hAnsi="Times New Roman" w:cs="Times New Roman"/>
          <w:sz w:val="24"/>
        </w:rPr>
        <w:t>estudiantes,</w:t>
      </w:r>
      <w:r w:rsidR="008B2BA8">
        <w:rPr>
          <w:rFonts w:ascii="Times New Roman" w:hAnsi="Times New Roman" w:cs="Times New Roman"/>
          <w:sz w:val="24"/>
        </w:rPr>
        <w:t xml:space="preserve"> </w:t>
      </w:r>
      <w:r w:rsidR="00567636">
        <w:rPr>
          <w:rFonts w:ascii="Times New Roman" w:hAnsi="Times New Roman" w:cs="Times New Roman"/>
          <w:sz w:val="24"/>
        </w:rPr>
        <w:t>100 empleados</w:t>
      </w:r>
      <w:r w:rsidR="00A7363A">
        <w:rPr>
          <w:rFonts w:ascii="Times New Roman" w:hAnsi="Times New Roman" w:cs="Times New Roman"/>
          <w:sz w:val="24"/>
        </w:rPr>
        <w:t xml:space="preserve">, </w:t>
      </w:r>
      <w:r w:rsidR="00567636">
        <w:rPr>
          <w:rFonts w:ascii="Times New Roman" w:hAnsi="Times New Roman" w:cs="Times New Roman"/>
          <w:sz w:val="24"/>
        </w:rPr>
        <w:t>15 oficinas administrativas más un polideportivo</w:t>
      </w:r>
      <w:r w:rsidR="008B2BA8">
        <w:rPr>
          <w:rFonts w:ascii="Times New Roman" w:hAnsi="Times New Roman" w:cs="Times New Roman"/>
          <w:sz w:val="24"/>
        </w:rPr>
        <w:t xml:space="preserve"> para todas las actividades deportivas extracurriculares</w:t>
      </w:r>
      <w:r w:rsidR="00567636">
        <w:rPr>
          <w:rFonts w:ascii="Times New Roman" w:hAnsi="Times New Roman" w:cs="Times New Roman"/>
          <w:sz w:val="24"/>
        </w:rPr>
        <w:t xml:space="preserve">. </w:t>
      </w:r>
    </w:p>
    <w:p w:rsidR="00B57D32" w:rsidRDefault="00B57D32" w:rsidP="006D3FA0">
      <w:pPr>
        <w:spacing w:line="480" w:lineRule="auto"/>
        <w:rPr>
          <w:rFonts w:ascii="Times New Roman" w:hAnsi="Times New Roman" w:cs="Times New Roman"/>
          <w:sz w:val="24"/>
        </w:rPr>
      </w:pPr>
      <w:r>
        <w:rPr>
          <w:rFonts w:ascii="Times New Roman" w:hAnsi="Times New Roman" w:cs="Times New Roman"/>
          <w:sz w:val="24"/>
        </w:rPr>
        <w:tab/>
      </w:r>
      <w:r w:rsidR="00C96CE7">
        <w:rPr>
          <w:rFonts w:ascii="Times New Roman" w:hAnsi="Times New Roman" w:cs="Times New Roman"/>
          <w:sz w:val="24"/>
        </w:rPr>
        <w:t xml:space="preserve">En el año 2014 el ranking de resultados de la prueba PAA de la Universidad Nacional Autónoma de Honduras ubicó al Instituto San José del Carmen en la posición número 16 de los mejores centros educativos privados con un promedio de 960 puntos, para el siguiente año se ubicó en la posición 21 y en el año 2016 tuvo la posición numero 31, mostrando de esta manera un decremento en nivel académico </w:t>
      </w:r>
      <w:r w:rsidR="007F1552">
        <w:rPr>
          <w:rFonts w:ascii="Times New Roman" w:hAnsi="Times New Roman" w:cs="Times New Roman"/>
          <w:sz w:val="24"/>
        </w:rPr>
        <w:t xml:space="preserve">de los estudiantes. Desde el año 2014 a la actualidad, el instituto ha percibido una reducción significativa en el número de matrículas (ver gráfico #3), lo cual ha llevado a la reducción de algunas secciones escolares de prebásica y básica en español.  </w:t>
      </w:r>
    </w:p>
    <w:p w:rsidR="007F1552" w:rsidRDefault="007F1552" w:rsidP="007F1552">
      <w:pPr>
        <w:spacing w:line="480" w:lineRule="auto"/>
        <w:jc w:val="center"/>
        <w:rPr>
          <w:rFonts w:ascii="Times New Roman" w:hAnsi="Times New Roman" w:cs="Times New Roman"/>
          <w:sz w:val="24"/>
        </w:rPr>
      </w:pPr>
      <w:r>
        <w:rPr>
          <w:noProof/>
        </w:rPr>
        <w:drawing>
          <wp:inline distT="0" distB="0" distL="0" distR="0" wp14:anchorId="3434B2A7" wp14:editId="64B691FF">
            <wp:extent cx="3381555" cy="2087593"/>
            <wp:effectExtent l="0" t="0" r="9525" b="8255"/>
            <wp:docPr id="4" name="Gráfico 4">
              <a:extLst xmlns:a="http://schemas.openxmlformats.org/drawingml/2006/main">
                <a:ext uri="{FF2B5EF4-FFF2-40B4-BE49-F238E27FC236}">
                  <a16:creationId xmlns:a16="http://schemas.microsoft.com/office/drawing/2014/main" id="{735AA36F-FE9A-4CF2-B63F-C18E64D0E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7F1552">
        <w:rPr>
          <w:rFonts w:ascii="Times New Roman" w:hAnsi="Times New Roman" w:cs="Times New Roman"/>
          <w:sz w:val="24"/>
        </w:rPr>
        <w:t xml:space="preserve"> </w:t>
      </w:r>
      <w:r>
        <w:rPr>
          <w:rFonts w:ascii="Times New Roman" w:hAnsi="Times New Roman" w:cs="Times New Roman"/>
          <w:sz w:val="24"/>
        </w:rPr>
        <w:br/>
        <w:t>Gráfico #3 Tabla de Matriculas anules</w:t>
      </w:r>
      <w:r>
        <w:rPr>
          <w:rFonts w:ascii="Times New Roman" w:hAnsi="Times New Roman" w:cs="Times New Roman"/>
          <w:sz w:val="24"/>
        </w:rPr>
        <w:br/>
        <w:t>Fuente: Actas de Matriculas de Secretaría</w:t>
      </w:r>
    </w:p>
    <w:p w:rsidR="007F1552" w:rsidRDefault="007F1552" w:rsidP="007F1552">
      <w:pPr>
        <w:spacing w:line="480" w:lineRule="auto"/>
        <w:ind w:firstLine="708"/>
        <w:rPr>
          <w:rFonts w:ascii="Times New Roman" w:hAnsi="Times New Roman" w:cs="Times New Roman"/>
          <w:sz w:val="24"/>
        </w:rPr>
      </w:pPr>
      <w:r>
        <w:rPr>
          <w:rFonts w:ascii="Times New Roman" w:hAnsi="Times New Roman" w:cs="Times New Roman"/>
          <w:sz w:val="24"/>
        </w:rPr>
        <w:t>Podemos observa como de tener un promedio de 1500 estudiantes el instituto paso a tener solo 1300 en los últimos 5 años, esto sin tomas en cuenta la cantidad de estudiantes que solicitaron traslado o desertaron del instituto</w:t>
      </w:r>
      <w:r w:rsidR="00E72329">
        <w:rPr>
          <w:rFonts w:ascii="Times New Roman" w:hAnsi="Times New Roman" w:cs="Times New Roman"/>
          <w:sz w:val="24"/>
        </w:rPr>
        <w:t>, financieramente no ha sido tan significativo ya que cada año el precio de la matrícula y la mensualidad ha ido en aumento</w:t>
      </w:r>
      <w:r>
        <w:rPr>
          <w:rFonts w:ascii="Times New Roman" w:hAnsi="Times New Roman" w:cs="Times New Roman"/>
          <w:sz w:val="24"/>
        </w:rPr>
        <w:t xml:space="preserve">. </w:t>
      </w:r>
    </w:p>
    <w:p w:rsidR="00CE5168" w:rsidRDefault="0041483E" w:rsidP="00CE5168">
      <w:pPr>
        <w:spacing w:line="480" w:lineRule="auto"/>
        <w:ind w:firstLine="708"/>
        <w:rPr>
          <w:rFonts w:ascii="Times New Roman" w:hAnsi="Times New Roman" w:cs="Times New Roman"/>
          <w:sz w:val="24"/>
        </w:rPr>
      </w:pPr>
      <w:r>
        <w:rPr>
          <w:rFonts w:ascii="Times New Roman" w:hAnsi="Times New Roman" w:cs="Times New Roman"/>
          <w:sz w:val="24"/>
        </w:rPr>
        <w:lastRenderedPageBreak/>
        <w:t xml:space="preserve">El gran crecimiento del </w:t>
      </w:r>
      <w:r w:rsidR="003A21F8">
        <w:rPr>
          <w:rFonts w:ascii="Times New Roman" w:hAnsi="Times New Roman" w:cs="Times New Roman"/>
          <w:sz w:val="24"/>
        </w:rPr>
        <w:t xml:space="preserve">instituto ha </w:t>
      </w:r>
      <w:r w:rsidR="00052845">
        <w:rPr>
          <w:rFonts w:ascii="Times New Roman" w:hAnsi="Times New Roman" w:cs="Times New Roman"/>
          <w:sz w:val="24"/>
        </w:rPr>
        <w:t>provocado en la</w:t>
      </w:r>
      <w:r w:rsidR="003A21F8">
        <w:rPr>
          <w:rFonts w:ascii="Times New Roman" w:hAnsi="Times New Roman" w:cs="Times New Roman"/>
          <w:sz w:val="24"/>
        </w:rPr>
        <w:t xml:space="preserve"> gerencia una mayor carga en los controles operacionales, financieros y académicos</w:t>
      </w:r>
      <w:r w:rsidR="00052845">
        <w:rPr>
          <w:rFonts w:ascii="Times New Roman" w:hAnsi="Times New Roman" w:cs="Times New Roman"/>
          <w:sz w:val="24"/>
        </w:rPr>
        <w:t>, dificultando de esta manera la toma propicia y acertada de decisiones</w:t>
      </w:r>
      <w:r w:rsidR="001E4ED9">
        <w:rPr>
          <w:rFonts w:ascii="Times New Roman" w:hAnsi="Times New Roman" w:cs="Times New Roman"/>
          <w:sz w:val="24"/>
        </w:rPr>
        <w:t>,</w:t>
      </w:r>
      <w:r w:rsidR="00052845">
        <w:rPr>
          <w:rFonts w:ascii="Times New Roman" w:hAnsi="Times New Roman" w:cs="Times New Roman"/>
          <w:sz w:val="24"/>
        </w:rPr>
        <w:t xml:space="preserve"> debido a la falta de información relevante</w:t>
      </w:r>
      <w:r w:rsidR="001E4ED9">
        <w:rPr>
          <w:rFonts w:ascii="Times New Roman" w:hAnsi="Times New Roman" w:cs="Times New Roman"/>
          <w:sz w:val="24"/>
        </w:rPr>
        <w:t xml:space="preserve"> de cada una de las áreas del instituto. </w:t>
      </w:r>
      <w:r w:rsidR="00CE5168">
        <w:rPr>
          <w:rFonts w:ascii="Times New Roman" w:hAnsi="Times New Roman" w:cs="Times New Roman"/>
          <w:sz w:val="24"/>
        </w:rPr>
        <w:t>Una solución de BI (Business Intelligence)</w:t>
      </w:r>
      <w:r w:rsidR="003C63A8">
        <w:rPr>
          <w:rFonts w:ascii="Times New Roman" w:hAnsi="Times New Roman" w:cs="Times New Roman"/>
          <w:sz w:val="24"/>
        </w:rPr>
        <w:t xml:space="preserve"> proporcionaría a los directores herramientas como </w:t>
      </w:r>
      <w:r w:rsidR="00B42999">
        <w:rPr>
          <w:rFonts w:ascii="Times New Roman" w:hAnsi="Times New Roman" w:cs="Times New Roman"/>
          <w:sz w:val="24"/>
        </w:rPr>
        <w:t>informes,</w:t>
      </w:r>
      <w:r w:rsidR="003C63A8">
        <w:rPr>
          <w:rFonts w:ascii="Times New Roman" w:hAnsi="Times New Roman" w:cs="Times New Roman"/>
          <w:sz w:val="24"/>
        </w:rPr>
        <w:t xml:space="preserve"> reportes, cuadros de mando, </w:t>
      </w:r>
      <w:r w:rsidR="00B42999">
        <w:rPr>
          <w:rFonts w:ascii="Times New Roman" w:hAnsi="Times New Roman" w:cs="Times New Roman"/>
          <w:sz w:val="24"/>
        </w:rPr>
        <w:t>graficas,</w:t>
      </w:r>
      <w:r w:rsidR="003C63A8">
        <w:rPr>
          <w:rFonts w:ascii="Times New Roman" w:hAnsi="Times New Roman" w:cs="Times New Roman"/>
          <w:sz w:val="24"/>
        </w:rPr>
        <w:t xml:space="preserve"> </w:t>
      </w:r>
      <w:r w:rsidR="00B42999">
        <w:rPr>
          <w:rFonts w:ascii="Times New Roman" w:hAnsi="Times New Roman" w:cs="Times New Roman"/>
          <w:sz w:val="24"/>
        </w:rPr>
        <w:t>estadísticas, tendencias</w:t>
      </w:r>
      <w:r w:rsidR="003C63A8">
        <w:rPr>
          <w:rFonts w:ascii="Times New Roman" w:hAnsi="Times New Roman" w:cs="Times New Roman"/>
          <w:sz w:val="24"/>
        </w:rPr>
        <w:t xml:space="preserve"> y patrones que les ayudarían a supervisar y controlar todos los procesos de la institución y de esta manera tomar las mejores decisiones de manera </w:t>
      </w:r>
      <w:r w:rsidR="00B42999">
        <w:rPr>
          <w:rFonts w:ascii="Times New Roman" w:hAnsi="Times New Roman" w:cs="Times New Roman"/>
          <w:sz w:val="24"/>
        </w:rPr>
        <w:t xml:space="preserve">más </w:t>
      </w:r>
      <w:r w:rsidR="003C63A8">
        <w:rPr>
          <w:rFonts w:ascii="Times New Roman" w:hAnsi="Times New Roman" w:cs="Times New Roman"/>
          <w:sz w:val="24"/>
        </w:rPr>
        <w:t xml:space="preserve">oportuna </w:t>
      </w:r>
      <w:r w:rsidR="00B42999">
        <w:rPr>
          <w:rFonts w:ascii="Times New Roman" w:hAnsi="Times New Roman" w:cs="Times New Roman"/>
          <w:sz w:val="24"/>
        </w:rPr>
        <w:t xml:space="preserve">y precisa y de ser necesario realizar cambios en el plan estratégico de la institución. </w:t>
      </w:r>
    </w:p>
    <w:p w:rsidR="00792076" w:rsidRDefault="00792076" w:rsidP="00792076">
      <w:pPr>
        <w:spacing w:line="480" w:lineRule="auto"/>
        <w:ind w:firstLine="708"/>
        <w:rPr>
          <w:rFonts w:ascii="Times New Roman" w:hAnsi="Times New Roman" w:cs="Times New Roman"/>
          <w:sz w:val="24"/>
        </w:rPr>
      </w:pPr>
      <w:r>
        <w:rPr>
          <w:noProof/>
        </w:rPr>
        <w:drawing>
          <wp:anchor distT="0" distB="0" distL="114300" distR="114300" simplePos="0" relativeHeight="251658240" behindDoc="1" locked="0" layoutInCell="1" allowOverlap="1">
            <wp:simplePos x="0" y="0"/>
            <wp:positionH relativeFrom="column">
              <wp:posOffset>1197562</wp:posOffset>
            </wp:positionH>
            <wp:positionV relativeFrom="paragraph">
              <wp:posOffset>2858531</wp:posOffset>
            </wp:positionV>
            <wp:extent cx="2767965" cy="2019935"/>
            <wp:effectExtent l="190500" t="190500" r="184785" b="189865"/>
            <wp:wrapTight wrapText="bothSides">
              <wp:wrapPolygon edited="0">
                <wp:start x="297" y="-2037"/>
                <wp:lineTo x="-1487" y="-1630"/>
                <wp:lineTo x="-1338" y="21390"/>
                <wp:lineTo x="149" y="23019"/>
                <wp:lineTo x="297" y="23427"/>
                <wp:lineTo x="21109" y="23427"/>
                <wp:lineTo x="21258" y="23019"/>
                <wp:lineTo x="22745" y="21390"/>
                <wp:lineTo x="22893" y="1630"/>
                <wp:lineTo x="21258" y="-1426"/>
                <wp:lineTo x="21109" y="-2037"/>
                <wp:lineTo x="297" y="-2037"/>
              </wp:wrapPolygon>
            </wp:wrapTight>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7965" cy="201993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413C2C">
        <w:rPr>
          <w:rFonts w:ascii="Times New Roman" w:hAnsi="Times New Roman" w:cs="Times New Roman"/>
          <w:sz w:val="24"/>
        </w:rPr>
        <w:t xml:space="preserve">Los sistemas informáticos son indispensables a la hora de tomar decisiones, ya que </w:t>
      </w:r>
      <w:r w:rsidR="002E3359">
        <w:rPr>
          <w:rFonts w:ascii="Times New Roman" w:hAnsi="Times New Roman" w:cs="Times New Roman"/>
          <w:sz w:val="24"/>
        </w:rPr>
        <w:t xml:space="preserve">los datos </w:t>
      </w:r>
      <w:r w:rsidR="00413C2C">
        <w:rPr>
          <w:rFonts w:ascii="Times New Roman" w:hAnsi="Times New Roman" w:cs="Times New Roman"/>
          <w:sz w:val="24"/>
        </w:rPr>
        <w:t xml:space="preserve">son la base mas acertada </w:t>
      </w:r>
      <w:r w:rsidR="002E3359">
        <w:rPr>
          <w:rFonts w:ascii="Times New Roman" w:hAnsi="Times New Roman" w:cs="Times New Roman"/>
          <w:sz w:val="24"/>
        </w:rPr>
        <w:t>y confiable que se pueda tener</w:t>
      </w:r>
      <w:r w:rsidRPr="00792076">
        <w:rPr>
          <w:rFonts w:ascii="Times New Roman" w:hAnsi="Times New Roman" w:cs="Times New Roman"/>
          <w:sz w:val="24"/>
        </w:rPr>
        <w:t xml:space="preserve">, </w:t>
      </w:r>
      <w:r>
        <w:rPr>
          <w:rFonts w:ascii="Times New Roman" w:hAnsi="Times New Roman" w:cs="Times New Roman"/>
          <w:sz w:val="24"/>
        </w:rPr>
        <w:t xml:space="preserve">Un sistema de BI </w:t>
      </w:r>
      <w:r w:rsidRPr="00792076">
        <w:rPr>
          <w:rFonts w:ascii="Times New Roman" w:hAnsi="Times New Roman" w:cs="Times New Roman"/>
          <w:sz w:val="24"/>
        </w:rPr>
        <w:t>es un conjunto de metodologías, aplicaciones</w:t>
      </w:r>
      <w:r>
        <w:rPr>
          <w:rFonts w:ascii="Times New Roman" w:hAnsi="Times New Roman" w:cs="Times New Roman"/>
          <w:sz w:val="24"/>
        </w:rPr>
        <w:t xml:space="preserve"> y </w:t>
      </w:r>
      <w:r w:rsidRPr="00792076">
        <w:rPr>
          <w:rFonts w:ascii="Times New Roman" w:hAnsi="Times New Roman" w:cs="Times New Roman"/>
          <w:sz w:val="24"/>
        </w:rPr>
        <w:t xml:space="preserve">practicas cuyo </w:t>
      </w:r>
      <w:r>
        <w:rPr>
          <w:rFonts w:ascii="Times New Roman" w:hAnsi="Times New Roman" w:cs="Times New Roman"/>
          <w:sz w:val="24"/>
        </w:rPr>
        <w:t xml:space="preserve">objetivo principal es del </w:t>
      </w:r>
      <w:r w:rsidRPr="00792076">
        <w:rPr>
          <w:rFonts w:ascii="Times New Roman" w:hAnsi="Times New Roman" w:cs="Times New Roman"/>
          <w:sz w:val="24"/>
        </w:rPr>
        <w:t>de </w:t>
      </w:r>
      <w:r>
        <w:rPr>
          <w:rFonts w:ascii="Times New Roman" w:hAnsi="Times New Roman" w:cs="Times New Roman"/>
          <w:sz w:val="24"/>
        </w:rPr>
        <w:t>recolectar</w:t>
      </w:r>
      <w:r w:rsidRPr="00792076">
        <w:rPr>
          <w:rFonts w:ascii="Times New Roman" w:hAnsi="Times New Roman" w:cs="Times New Roman"/>
          <w:sz w:val="24"/>
        </w:rPr>
        <w:t xml:space="preserve">, depurar y transformar los datos de los sistemas </w:t>
      </w:r>
      <w:r>
        <w:rPr>
          <w:rFonts w:ascii="Times New Roman" w:hAnsi="Times New Roman" w:cs="Times New Roman"/>
          <w:sz w:val="24"/>
        </w:rPr>
        <w:t>operacionales</w:t>
      </w:r>
      <w:r w:rsidRPr="00792076">
        <w:rPr>
          <w:rFonts w:ascii="Times New Roman" w:hAnsi="Times New Roman" w:cs="Times New Roman"/>
          <w:sz w:val="24"/>
        </w:rPr>
        <w:t xml:space="preserve"> para convertirlos en conocimiento</w:t>
      </w:r>
      <w:r w:rsidR="002E3359">
        <w:rPr>
          <w:rFonts w:ascii="Times New Roman" w:hAnsi="Times New Roman" w:cs="Times New Roman"/>
          <w:sz w:val="24"/>
        </w:rPr>
        <w:t xml:space="preserve">, estos sistemas están estructurados de la siguiente manera: modulo de recolección de datos, modulo de almacenamiento de datos, modulo de procesamiento de datos, módulo de presentación de datos, </w:t>
      </w:r>
      <w:r>
        <w:rPr>
          <w:rFonts w:ascii="Times New Roman" w:hAnsi="Times New Roman" w:cs="Times New Roman"/>
          <w:sz w:val="24"/>
        </w:rPr>
        <w:t xml:space="preserve">su estructura básica podemos </w:t>
      </w:r>
      <w:r w:rsidR="002E3359">
        <w:rPr>
          <w:rFonts w:ascii="Times New Roman" w:hAnsi="Times New Roman" w:cs="Times New Roman"/>
          <w:sz w:val="24"/>
        </w:rPr>
        <w:t xml:space="preserve"> verl</w:t>
      </w:r>
      <w:r>
        <w:rPr>
          <w:rFonts w:ascii="Times New Roman" w:hAnsi="Times New Roman" w:cs="Times New Roman"/>
          <w:sz w:val="24"/>
        </w:rPr>
        <w:t>a</w:t>
      </w:r>
      <w:r w:rsidR="002E3359">
        <w:rPr>
          <w:rFonts w:ascii="Times New Roman" w:hAnsi="Times New Roman" w:cs="Times New Roman"/>
          <w:sz w:val="24"/>
        </w:rPr>
        <w:t xml:space="preserve"> en el gráfico #4. </w:t>
      </w:r>
    </w:p>
    <w:p w:rsidR="00792076" w:rsidRDefault="00792076" w:rsidP="00792076">
      <w:pPr>
        <w:spacing w:line="276" w:lineRule="auto"/>
        <w:ind w:firstLine="708"/>
        <w:rPr>
          <w:rFonts w:ascii="Times New Roman" w:hAnsi="Times New Roman" w:cs="Times New Roman"/>
          <w:sz w:val="24"/>
        </w:rPr>
      </w:pPr>
    </w:p>
    <w:p w:rsidR="00792076" w:rsidRDefault="00792076" w:rsidP="00792076">
      <w:pPr>
        <w:spacing w:line="276" w:lineRule="auto"/>
        <w:ind w:firstLine="708"/>
        <w:rPr>
          <w:rFonts w:ascii="Times New Roman" w:hAnsi="Times New Roman" w:cs="Times New Roman"/>
          <w:sz w:val="24"/>
        </w:rPr>
      </w:pPr>
    </w:p>
    <w:p w:rsidR="00792076" w:rsidRDefault="00792076" w:rsidP="00792076">
      <w:pPr>
        <w:spacing w:line="276" w:lineRule="auto"/>
        <w:ind w:firstLine="708"/>
        <w:rPr>
          <w:rFonts w:ascii="Times New Roman" w:hAnsi="Times New Roman" w:cs="Times New Roman"/>
          <w:sz w:val="24"/>
        </w:rPr>
      </w:pPr>
    </w:p>
    <w:p w:rsidR="00792076" w:rsidRDefault="00792076" w:rsidP="00792076">
      <w:pPr>
        <w:spacing w:line="276" w:lineRule="auto"/>
        <w:ind w:firstLine="708"/>
        <w:rPr>
          <w:rFonts w:ascii="Times New Roman" w:hAnsi="Times New Roman" w:cs="Times New Roman"/>
          <w:sz w:val="24"/>
        </w:rPr>
      </w:pPr>
    </w:p>
    <w:p w:rsidR="002E3359" w:rsidRDefault="00792076" w:rsidP="00792076">
      <w:pPr>
        <w:spacing w:line="276" w:lineRule="auto"/>
        <w:ind w:firstLine="708"/>
        <w:jc w:val="center"/>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t>Gráfico #4 Estructura de una solución de Business Intelligence.</w:t>
      </w:r>
      <w:r>
        <w:rPr>
          <w:rFonts w:ascii="Times New Roman" w:hAnsi="Times New Roman" w:cs="Times New Roman"/>
          <w:sz w:val="24"/>
        </w:rPr>
        <w:br/>
      </w:r>
      <w:r w:rsidRPr="00792076">
        <w:rPr>
          <w:rFonts w:ascii="Times New Roman" w:hAnsi="Times New Roman" w:cs="Times New Roman"/>
          <w:sz w:val="24"/>
        </w:rPr>
        <w:t>http://diarium.usal.es/id00710310/files/2016/03/cons_tecn_Business_Intelligence.gif</w:t>
      </w:r>
    </w:p>
    <w:p w:rsidR="002C50EE" w:rsidRDefault="00EB0AED" w:rsidP="00CE5168">
      <w:pPr>
        <w:spacing w:line="480" w:lineRule="auto"/>
        <w:ind w:firstLine="708"/>
        <w:rPr>
          <w:rFonts w:ascii="Times New Roman" w:hAnsi="Times New Roman" w:cs="Times New Roman"/>
          <w:sz w:val="24"/>
        </w:rPr>
      </w:pPr>
      <w:r>
        <w:rPr>
          <w:rFonts w:ascii="Times New Roman" w:hAnsi="Times New Roman" w:cs="Times New Roman"/>
          <w:sz w:val="24"/>
        </w:rPr>
        <w:lastRenderedPageBreak/>
        <w:t xml:space="preserve">El problema de esta investigación radica en el hecho que los centros educativos no cuentan con sistemas informáticos operacionales o académicos que puedan brindar datos de manera organizada </w:t>
      </w:r>
      <w:r w:rsidR="00692F87">
        <w:rPr>
          <w:rFonts w:ascii="Times New Roman" w:hAnsi="Times New Roman" w:cs="Times New Roman"/>
          <w:sz w:val="24"/>
        </w:rPr>
        <w:t>o</w:t>
      </w:r>
      <w:r>
        <w:rPr>
          <w:rFonts w:ascii="Times New Roman" w:hAnsi="Times New Roman" w:cs="Times New Roman"/>
          <w:sz w:val="24"/>
        </w:rPr>
        <w:t xml:space="preserve"> bien estructurada, y poder, de esta manera, implementar una solución de Business Intelligence que ayudaría a los directores en la toma de decisiones. Los centros educativos siguen </w:t>
      </w:r>
      <w:r w:rsidR="00692F87">
        <w:rPr>
          <w:rFonts w:ascii="Times New Roman" w:hAnsi="Times New Roman" w:cs="Times New Roman"/>
          <w:sz w:val="24"/>
        </w:rPr>
        <w:t xml:space="preserve">registrando muchos de sus procesos en hojas de papel, carpetas de docentes, archiveros o en el mejor de los casos hojas de Excel y Word mal organizadas o sin estructura alguna. </w:t>
      </w:r>
      <w:r>
        <w:rPr>
          <w:rFonts w:ascii="Times New Roman" w:hAnsi="Times New Roman" w:cs="Times New Roman"/>
          <w:sz w:val="24"/>
        </w:rPr>
        <w:t xml:space="preserve"> </w:t>
      </w:r>
      <w:r w:rsidR="00692F87">
        <w:rPr>
          <w:rFonts w:ascii="Times New Roman" w:hAnsi="Times New Roman" w:cs="Times New Roman"/>
          <w:sz w:val="24"/>
        </w:rPr>
        <w:t>Sin este origen de datos digitalizado o bien estructurado será imposible implementar una solución de BI que pueda brindar soporte a la alta gerencia de las instituciones</w:t>
      </w:r>
      <w:r w:rsidR="005A0711">
        <w:rPr>
          <w:rFonts w:ascii="Times New Roman" w:hAnsi="Times New Roman" w:cs="Times New Roman"/>
          <w:sz w:val="24"/>
        </w:rPr>
        <w:t xml:space="preserve"> educativas</w:t>
      </w:r>
      <w:r w:rsidR="00692F87">
        <w:rPr>
          <w:rFonts w:ascii="Times New Roman" w:hAnsi="Times New Roman" w:cs="Times New Roman"/>
          <w:sz w:val="24"/>
        </w:rPr>
        <w:t xml:space="preserve">. </w:t>
      </w:r>
      <w:r w:rsidR="002C50EE">
        <w:rPr>
          <w:rFonts w:ascii="Times New Roman" w:hAnsi="Times New Roman" w:cs="Times New Roman"/>
          <w:sz w:val="24"/>
        </w:rPr>
        <w:br/>
      </w:r>
      <w:r w:rsidR="005A0711">
        <w:rPr>
          <w:rFonts w:ascii="Times New Roman" w:hAnsi="Times New Roman" w:cs="Times New Roman"/>
          <w:sz w:val="24"/>
        </w:rPr>
        <w:tab/>
      </w:r>
    </w:p>
    <w:p w:rsidR="00547A8D" w:rsidRDefault="00547A8D" w:rsidP="00547A8D">
      <w:pPr>
        <w:spacing w:line="240" w:lineRule="auto"/>
        <w:rPr>
          <w:rFonts w:ascii="Times New Roman" w:hAnsi="Times New Roman" w:cs="Times New Roman"/>
          <w:sz w:val="24"/>
          <w:lang w:val="es-ES"/>
        </w:rPr>
      </w:pPr>
      <w:r>
        <w:rPr>
          <w:rFonts w:ascii="Times New Roman" w:hAnsi="Times New Roman" w:cs="Times New Roman"/>
          <w:sz w:val="24"/>
          <w:lang w:val="es-ES"/>
        </w:rPr>
        <w:t>1.3</w:t>
      </w:r>
      <w:r>
        <w:rPr>
          <w:rFonts w:ascii="Times New Roman" w:hAnsi="Times New Roman" w:cs="Times New Roman"/>
          <w:sz w:val="24"/>
          <w:lang w:val="es-ES"/>
        </w:rPr>
        <w:t xml:space="preserve"> Objetivos</w:t>
      </w:r>
    </w:p>
    <w:p w:rsidR="00547A8D" w:rsidRDefault="00027A8E" w:rsidP="00547A8D">
      <w:pPr>
        <w:spacing w:line="240" w:lineRule="auto"/>
        <w:rPr>
          <w:rFonts w:ascii="Times New Roman" w:hAnsi="Times New Roman" w:cs="Times New Roman"/>
          <w:sz w:val="24"/>
          <w:lang w:val="es-ES"/>
        </w:rPr>
      </w:pPr>
      <w:r>
        <w:rPr>
          <w:rFonts w:ascii="Times New Roman" w:hAnsi="Times New Roman" w:cs="Times New Roman"/>
          <w:sz w:val="24"/>
          <w:lang w:val="es-ES"/>
        </w:rPr>
        <w:tab/>
      </w:r>
    </w:p>
    <w:p w:rsidR="00547A8D" w:rsidRPr="00AE07D9" w:rsidRDefault="00027A8E" w:rsidP="00AE07D9">
      <w:pPr>
        <w:spacing w:line="480" w:lineRule="auto"/>
        <w:rPr>
          <w:rFonts w:ascii="Times New Roman" w:hAnsi="Times New Roman" w:cs="Times New Roman"/>
          <w:sz w:val="24"/>
          <w:lang w:val="es-ES"/>
        </w:rPr>
      </w:pPr>
      <w:r>
        <w:rPr>
          <w:rFonts w:ascii="Times New Roman" w:hAnsi="Times New Roman" w:cs="Times New Roman"/>
          <w:sz w:val="24"/>
          <w:lang w:val="es-ES"/>
        </w:rPr>
        <w:tab/>
        <w:t>Objetivo General: Desarrollar un sistema informático que permita recolectar</w:t>
      </w:r>
      <w:r w:rsidR="00ED0B43">
        <w:rPr>
          <w:rFonts w:ascii="Times New Roman" w:hAnsi="Times New Roman" w:cs="Times New Roman"/>
          <w:sz w:val="24"/>
          <w:lang w:val="es-ES"/>
        </w:rPr>
        <w:t>, estructurar y almacenar</w:t>
      </w:r>
      <w:r>
        <w:rPr>
          <w:rFonts w:ascii="Times New Roman" w:hAnsi="Times New Roman" w:cs="Times New Roman"/>
          <w:sz w:val="24"/>
          <w:lang w:val="es-ES"/>
        </w:rPr>
        <w:t xml:space="preserve"> datos de los procesos operacionales, financieros y académicos </w:t>
      </w:r>
      <w:r w:rsidR="00ED0B43">
        <w:rPr>
          <w:rFonts w:ascii="Times New Roman" w:hAnsi="Times New Roman" w:cs="Times New Roman"/>
          <w:sz w:val="24"/>
          <w:lang w:val="es-ES"/>
        </w:rPr>
        <w:t>del Instituto San José del Carmen, y con ello, implementar</w:t>
      </w:r>
      <w:r>
        <w:rPr>
          <w:rFonts w:ascii="Times New Roman" w:hAnsi="Times New Roman" w:cs="Times New Roman"/>
          <w:sz w:val="24"/>
          <w:lang w:val="es-ES"/>
        </w:rPr>
        <w:t xml:space="preserve"> una solución de Business Intelligence</w:t>
      </w:r>
      <w:r w:rsidR="007A40BA">
        <w:rPr>
          <w:rFonts w:ascii="Times New Roman" w:hAnsi="Times New Roman" w:cs="Times New Roman"/>
          <w:sz w:val="24"/>
          <w:lang w:val="es-ES"/>
        </w:rPr>
        <w:t xml:space="preserve"> por un parcial escolar en</w:t>
      </w:r>
      <w:r w:rsidR="00ED0B43">
        <w:rPr>
          <w:rFonts w:ascii="Times New Roman" w:hAnsi="Times New Roman" w:cs="Times New Roman"/>
          <w:sz w:val="24"/>
          <w:lang w:val="es-ES"/>
        </w:rPr>
        <w:t xml:space="preserve"> el </w:t>
      </w:r>
      <w:r w:rsidR="007A40BA">
        <w:rPr>
          <w:rFonts w:ascii="Times New Roman" w:hAnsi="Times New Roman" w:cs="Times New Roman"/>
          <w:sz w:val="24"/>
          <w:lang w:val="es-ES"/>
        </w:rPr>
        <w:t>I</w:t>
      </w:r>
      <w:r w:rsidR="00ED0B43">
        <w:rPr>
          <w:rFonts w:ascii="Times New Roman" w:hAnsi="Times New Roman" w:cs="Times New Roman"/>
          <w:sz w:val="24"/>
          <w:lang w:val="es-ES"/>
        </w:rPr>
        <w:t>ns</w:t>
      </w:r>
      <w:r w:rsidR="007A40BA">
        <w:rPr>
          <w:rFonts w:ascii="Times New Roman" w:hAnsi="Times New Roman" w:cs="Times New Roman"/>
          <w:sz w:val="24"/>
          <w:lang w:val="es-ES"/>
        </w:rPr>
        <w:t>tituto</w:t>
      </w:r>
      <w:r w:rsidR="00ED0B43">
        <w:rPr>
          <w:rFonts w:ascii="Times New Roman" w:hAnsi="Times New Roman" w:cs="Times New Roman"/>
          <w:sz w:val="24"/>
          <w:lang w:val="es-ES"/>
        </w:rPr>
        <w:t>.</w:t>
      </w:r>
      <w:r>
        <w:rPr>
          <w:rFonts w:ascii="Times New Roman" w:hAnsi="Times New Roman" w:cs="Times New Roman"/>
          <w:sz w:val="24"/>
          <w:lang w:val="es-ES"/>
        </w:rPr>
        <w:t xml:space="preserve"> </w:t>
      </w:r>
      <w:r w:rsidR="00CA66BD">
        <w:rPr>
          <w:rFonts w:ascii="Times New Roman" w:hAnsi="Times New Roman" w:cs="Times New Roman"/>
          <w:sz w:val="24"/>
          <w:lang w:val="es-ES"/>
        </w:rPr>
        <w:t xml:space="preserve"> </w:t>
      </w:r>
    </w:p>
    <w:p w:rsidR="00547A8D" w:rsidRPr="000C5FA0" w:rsidRDefault="00547A8D" w:rsidP="00547A8D">
      <w:pPr>
        <w:spacing w:line="480" w:lineRule="auto"/>
        <w:rPr>
          <w:rFonts w:ascii="Times New Roman" w:hAnsi="Times New Roman" w:cs="Times New Roman"/>
          <w:sz w:val="24"/>
        </w:rPr>
      </w:pPr>
      <w:r w:rsidRPr="003D023D">
        <w:rPr>
          <w:rFonts w:ascii="Times New Roman" w:hAnsi="Times New Roman" w:cs="Times New Roman"/>
          <w:sz w:val="24"/>
        </w:rPr>
        <w:t>Objetivo Específicos</w:t>
      </w:r>
      <w:r w:rsidRPr="000C5FA0">
        <w:rPr>
          <w:rFonts w:ascii="Times New Roman" w:hAnsi="Times New Roman" w:cs="Times New Roman"/>
          <w:sz w:val="24"/>
        </w:rPr>
        <w:t>:</w:t>
      </w:r>
      <w:r>
        <w:rPr>
          <w:rFonts w:ascii="Times New Roman" w:hAnsi="Times New Roman" w:cs="Times New Roman"/>
          <w:sz w:val="24"/>
        </w:rPr>
        <w:t xml:space="preserve"> </w:t>
      </w:r>
    </w:p>
    <w:p w:rsidR="002F41E0" w:rsidRDefault="002F41E0" w:rsidP="00547A8D">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Establecer los indicadores claves</w:t>
      </w:r>
      <w:r>
        <w:rPr>
          <w:rFonts w:ascii="Times New Roman" w:hAnsi="Times New Roman" w:cs="Times New Roman"/>
          <w:sz w:val="24"/>
        </w:rPr>
        <w:t xml:space="preserve"> estratégicos, procesos operacionales, financieros y académicos </w:t>
      </w:r>
      <w:r>
        <w:rPr>
          <w:rFonts w:ascii="Times New Roman" w:hAnsi="Times New Roman" w:cs="Times New Roman"/>
          <w:sz w:val="24"/>
        </w:rPr>
        <w:t>que se buscar</w:t>
      </w:r>
      <w:r>
        <w:rPr>
          <w:rFonts w:ascii="Times New Roman" w:hAnsi="Times New Roman" w:cs="Times New Roman"/>
          <w:sz w:val="24"/>
        </w:rPr>
        <w:t>á</w:t>
      </w:r>
      <w:r>
        <w:rPr>
          <w:rFonts w:ascii="Times New Roman" w:hAnsi="Times New Roman" w:cs="Times New Roman"/>
          <w:sz w:val="24"/>
        </w:rPr>
        <w:t>n medir</w:t>
      </w:r>
      <w:r>
        <w:rPr>
          <w:rFonts w:ascii="Times New Roman" w:hAnsi="Times New Roman" w:cs="Times New Roman"/>
          <w:sz w:val="24"/>
        </w:rPr>
        <w:t xml:space="preserve">, </w:t>
      </w:r>
      <w:r>
        <w:rPr>
          <w:rFonts w:ascii="Times New Roman" w:hAnsi="Times New Roman" w:cs="Times New Roman"/>
          <w:sz w:val="24"/>
        </w:rPr>
        <w:t xml:space="preserve">recolectar </w:t>
      </w:r>
      <w:r>
        <w:rPr>
          <w:rFonts w:ascii="Times New Roman" w:hAnsi="Times New Roman" w:cs="Times New Roman"/>
          <w:sz w:val="24"/>
        </w:rPr>
        <w:t>y almacenar</w:t>
      </w:r>
      <w:r>
        <w:rPr>
          <w:rFonts w:ascii="Times New Roman" w:hAnsi="Times New Roman" w:cs="Times New Roman"/>
          <w:sz w:val="24"/>
        </w:rPr>
        <w:t xml:space="preserve">.   </w:t>
      </w:r>
      <w:r w:rsidR="00C46A02">
        <w:rPr>
          <w:rFonts w:ascii="Times New Roman" w:hAnsi="Times New Roman" w:cs="Times New Roman"/>
          <w:sz w:val="24"/>
        </w:rPr>
        <w:tab/>
      </w:r>
    </w:p>
    <w:p w:rsidR="00C46A02" w:rsidRDefault="00C46A02" w:rsidP="002F41E0">
      <w:pPr>
        <w:spacing w:line="480" w:lineRule="auto"/>
        <w:ind w:firstLine="708"/>
        <w:rPr>
          <w:rFonts w:ascii="Times New Roman" w:hAnsi="Times New Roman" w:cs="Times New Roman"/>
          <w:sz w:val="24"/>
        </w:rPr>
      </w:pPr>
      <w:r>
        <w:rPr>
          <w:rFonts w:ascii="Times New Roman" w:hAnsi="Times New Roman" w:cs="Times New Roman"/>
          <w:sz w:val="24"/>
        </w:rPr>
        <w:t xml:space="preserve">Diseñar y desarrollar un sistema informático que permita reunir, estructurar y almacenar la información de los procesos operacionales, financieros y académicos </w:t>
      </w:r>
      <w:r w:rsidR="00E431B9">
        <w:rPr>
          <w:rFonts w:ascii="Times New Roman" w:hAnsi="Times New Roman" w:cs="Times New Roman"/>
          <w:sz w:val="24"/>
        </w:rPr>
        <w:t xml:space="preserve">establecidos. </w:t>
      </w:r>
    </w:p>
    <w:p w:rsidR="00E431B9" w:rsidRDefault="00E431B9" w:rsidP="002F41E0">
      <w:pPr>
        <w:spacing w:line="480" w:lineRule="auto"/>
        <w:ind w:firstLine="708"/>
        <w:rPr>
          <w:rFonts w:ascii="Times New Roman" w:hAnsi="Times New Roman" w:cs="Times New Roman"/>
          <w:sz w:val="24"/>
        </w:rPr>
      </w:pPr>
      <w:r>
        <w:rPr>
          <w:rFonts w:ascii="Times New Roman" w:hAnsi="Times New Roman" w:cs="Times New Roman"/>
          <w:sz w:val="24"/>
        </w:rPr>
        <w:t xml:space="preserve">Diseñar una solución de Business Intelligence para la gestión y control de centros educativos. </w:t>
      </w:r>
    </w:p>
    <w:p w:rsidR="00E431B9" w:rsidRDefault="00E431B9" w:rsidP="002F41E0">
      <w:pPr>
        <w:spacing w:line="480" w:lineRule="auto"/>
        <w:ind w:firstLine="708"/>
        <w:rPr>
          <w:rFonts w:ascii="Times New Roman" w:hAnsi="Times New Roman" w:cs="Times New Roman"/>
          <w:sz w:val="24"/>
        </w:rPr>
      </w:pPr>
      <w:r>
        <w:rPr>
          <w:rFonts w:ascii="Times New Roman" w:hAnsi="Times New Roman" w:cs="Times New Roman"/>
          <w:sz w:val="24"/>
        </w:rPr>
        <w:lastRenderedPageBreak/>
        <w:t xml:space="preserve">Implementar una herramienta de Business Intelligence que provea de informes, reportes, graficas, cuadros de mando, patrones y tendencias de todos los indicadores claves definidos. </w:t>
      </w:r>
    </w:p>
    <w:p w:rsidR="00E431B9" w:rsidRDefault="00E431B9" w:rsidP="00547A8D">
      <w:pPr>
        <w:spacing w:line="480" w:lineRule="auto"/>
        <w:rPr>
          <w:rFonts w:ascii="Times New Roman" w:hAnsi="Times New Roman" w:cs="Times New Roman"/>
          <w:sz w:val="24"/>
          <w:lang w:val="es-ES"/>
        </w:rPr>
      </w:pPr>
    </w:p>
    <w:p w:rsidR="00547A8D" w:rsidRDefault="00E431B9" w:rsidP="00547A8D">
      <w:pPr>
        <w:spacing w:line="480" w:lineRule="auto"/>
        <w:rPr>
          <w:rFonts w:ascii="Times New Roman" w:hAnsi="Times New Roman" w:cs="Times New Roman"/>
          <w:sz w:val="24"/>
          <w:lang w:val="es-ES"/>
        </w:rPr>
      </w:pPr>
      <w:r>
        <w:rPr>
          <w:rFonts w:ascii="Times New Roman" w:hAnsi="Times New Roman" w:cs="Times New Roman"/>
          <w:sz w:val="24"/>
          <w:lang w:val="es-ES"/>
        </w:rPr>
        <w:t xml:space="preserve">1.4 </w:t>
      </w:r>
      <w:r w:rsidR="00547A8D">
        <w:rPr>
          <w:rFonts w:ascii="Times New Roman" w:hAnsi="Times New Roman" w:cs="Times New Roman"/>
          <w:sz w:val="24"/>
          <w:lang w:val="es-ES"/>
        </w:rPr>
        <w:t>Preguntas de la investigación.</w:t>
      </w:r>
    </w:p>
    <w:p w:rsidR="00E431B9" w:rsidRDefault="00E431B9" w:rsidP="00547A8D">
      <w:pPr>
        <w:spacing w:line="480" w:lineRule="auto"/>
        <w:rPr>
          <w:rFonts w:ascii="Times New Roman" w:hAnsi="Times New Roman" w:cs="Times New Roman"/>
          <w:sz w:val="24"/>
        </w:rPr>
      </w:pPr>
      <w:r>
        <w:rPr>
          <w:rFonts w:ascii="Times New Roman" w:hAnsi="Times New Roman" w:cs="Times New Roman"/>
          <w:sz w:val="24"/>
        </w:rPr>
        <w:tab/>
      </w:r>
      <w:r w:rsidR="00776B6F">
        <w:rPr>
          <w:rFonts w:ascii="Times New Roman" w:hAnsi="Times New Roman" w:cs="Times New Roman"/>
          <w:sz w:val="24"/>
        </w:rPr>
        <w:t>¿Cuáles son los indicadores claves estratégicos, operacionales, financieros y académicos que debe establecer un centro educativo privado</w:t>
      </w:r>
      <w:r>
        <w:rPr>
          <w:rFonts w:ascii="Times New Roman" w:hAnsi="Times New Roman" w:cs="Times New Roman"/>
          <w:sz w:val="24"/>
        </w:rPr>
        <w:t>?</w:t>
      </w:r>
    </w:p>
    <w:p w:rsidR="00547A8D" w:rsidRDefault="00E431B9" w:rsidP="00E431B9">
      <w:pPr>
        <w:spacing w:line="480" w:lineRule="auto"/>
        <w:ind w:firstLine="708"/>
        <w:rPr>
          <w:rFonts w:ascii="Times New Roman" w:hAnsi="Times New Roman" w:cs="Times New Roman"/>
          <w:sz w:val="24"/>
        </w:rPr>
      </w:pPr>
      <w:r>
        <w:rPr>
          <w:rFonts w:ascii="Times New Roman" w:hAnsi="Times New Roman" w:cs="Times New Roman"/>
          <w:sz w:val="24"/>
        </w:rPr>
        <w:t xml:space="preserve">¿Qué sistemas </w:t>
      </w:r>
      <w:r w:rsidR="00776B6F">
        <w:rPr>
          <w:rFonts w:ascii="Times New Roman" w:hAnsi="Times New Roman" w:cs="Times New Roman"/>
          <w:sz w:val="24"/>
        </w:rPr>
        <w:t>informáticos</w:t>
      </w:r>
      <w:r>
        <w:rPr>
          <w:rFonts w:ascii="Times New Roman" w:hAnsi="Times New Roman" w:cs="Times New Roman"/>
          <w:sz w:val="24"/>
        </w:rPr>
        <w:t xml:space="preserve"> utilizan los centros educativos para recolectar los datos de los indicadores claves </w:t>
      </w:r>
      <w:r w:rsidR="00776B6F">
        <w:rPr>
          <w:rFonts w:ascii="Times New Roman" w:hAnsi="Times New Roman" w:cs="Times New Roman"/>
          <w:sz w:val="24"/>
        </w:rPr>
        <w:t>estratégicos</w:t>
      </w:r>
      <w:r>
        <w:rPr>
          <w:rFonts w:ascii="Times New Roman" w:hAnsi="Times New Roman" w:cs="Times New Roman"/>
          <w:sz w:val="24"/>
        </w:rPr>
        <w:t>?</w:t>
      </w:r>
    </w:p>
    <w:p w:rsidR="00776B6F" w:rsidRDefault="00776B6F" w:rsidP="00E431B9">
      <w:pPr>
        <w:spacing w:line="480" w:lineRule="auto"/>
        <w:ind w:firstLine="708"/>
        <w:rPr>
          <w:rFonts w:ascii="Times New Roman" w:hAnsi="Times New Roman" w:cs="Times New Roman"/>
          <w:sz w:val="24"/>
        </w:rPr>
      </w:pPr>
      <w:r>
        <w:rPr>
          <w:rFonts w:ascii="Times New Roman" w:hAnsi="Times New Roman" w:cs="Times New Roman"/>
          <w:sz w:val="24"/>
        </w:rPr>
        <w:t>¿Qué diseño, estructura y elementos de Business Intelligence es más adecuada para un centro educativo?</w:t>
      </w:r>
    </w:p>
    <w:p w:rsidR="00776B6F" w:rsidRDefault="006D692C" w:rsidP="00E431B9">
      <w:pPr>
        <w:spacing w:line="480" w:lineRule="auto"/>
        <w:ind w:firstLine="708"/>
        <w:rPr>
          <w:rFonts w:ascii="Times New Roman" w:hAnsi="Times New Roman" w:cs="Times New Roman"/>
          <w:sz w:val="24"/>
        </w:rPr>
      </w:pPr>
      <w:r>
        <w:rPr>
          <w:rFonts w:ascii="Times New Roman" w:hAnsi="Times New Roman" w:cs="Times New Roman"/>
          <w:sz w:val="24"/>
        </w:rPr>
        <w:t>¿Qué herramienta de Business Inteligence ofrece mejores los beneficios a los centros educativos?</w:t>
      </w:r>
    </w:p>
    <w:p w:rsidR="006D692C" w:rsidRDefault="004E4214" w:rsidP="006D3FA0">
      <w:pPr>
        <w:spacing w:line="480" w:lineRule="auto"/>
        <w:rPr>
          <w:rFonts w:ascii="Times New Roman" w:hAnsi="Times New Roman" w:cs="Times New Roman"/>
          <w:sz w:val="24"/>
        </w:rPr>
      </w:pPr>
      <w:r>
        <w:rPr>
          <w:rFonts w:ascii="Times New Roman" w:hAnsi="Times New Roman" w:cs="Times New Roman"/>
          <w:sz w:val="24"/>
        </w:rPr>
        <w:t xml:space="preserve"> </w:t>
      </w:r>
      <w:r w:rsidR="006D692C">
        <w:rPr>
          <w:rFonts w:ascii="Times New Roman" w:hAnsi="Times New Roman" w:cs="Times New Roman"/>
          <w:sz w:val="24"/>
        </w:rPr>
        <w:t>1.5 Justificación</w:t>
      </w:r>
    </w:p>
    <w:p w:rsidR="003B487A" w:rsidRDefault="003B487A" w:rsidP="006D3FA0">
      <w:pPr>
        <w:spacing w:line="480" w:lineRule="auto"/>
        <w:rPr>
          <w:rFonts w:ascii="Times New Roman" w:hAnsi="Times New Roman" w:cs="Times New Roman"/>
          <w:sz w:val="24"/>
        </w:rPr>
      </w:pPr>
      <w:r>
        <w:rPr>
          <w:rFonts w:ascii="Times New Roman" w:hAnsi="Times New Roman" w:cs="Times New Roman"/>
          <w:sz w:val="24"/>
        </w:rPr>
        <w:tab/>
      </w:r>
      <w:bookmarkStart w:id="0" w:name="_GoBack"/>
      <w:bookmarkEnd w:id="0"/>
    </w:p>
    <w:p w:rsidR="006D692C" w:rsidRDefault="006D692C" w:rsidP="006D3FA0">
      <w:pPr>
        <w:spacing w:line="480" w:lineRule="auto"/>
        <w:rPr>
          <w:rFonts w:ascii="Times New Roman" w:hAnsi="Times New Roman" w:cs="Times New Roman"/>
          <w:sz w:val="24"/>
        </w:rPr>
      </w:pPr>
      <w:r>
        <w:rPr>
          <w:rFonts w:ascii="Times New Roman" w:hAnsi="Times New Roman" w:cs="Times New Roman"/>
          <w:sz w:val="24"/>
        </w:rPr>
        <w:t>1.6 Delimitación</w:t>
      </w:r>
    </w:p>
    <w:p w:rsidR="00520F12" w:rsidRDefault="006D692C" w:rsidP="006D3FA0">
      <w:pPr>
        <w:spacing w:line="480" w:lineRule="auto"/>
        <w:rPr>
          <w:rFonts w:ascii="Times New Roman" w:hAnsi="Times New Roman" w:cs="Times New Roman"/>
          <w:sz w:val="24"/>
        </w:rPr>
      </w:pPr>
      <w:r>
        <w:rPr>
          <w:rFonts w:ascii="Times New Roman" w:hAnsi="Times New Roman" w:cs="Times New Roman"/>
          <w:sz w:val="24"/>
        </w:rPr>
        <w:t xml:space="preserve">1.7 Viabilidad   </w:t>
      </w:r>
    </w:p>
    <w:p w:rsidR="00184A8D" w:rsidRDefault="00184A8D" w:rsidP="00B76B5E">
      <w:pPr>
        <w:spacing w:line="480" w:lineRule="auto"/>
        <w:ind w:firstLine="420"/>
        <w:jc w:val="center"/>
        <w:rPr>
          <w:rFonts w:ascii="Times New Roman" w:hAnsi="Times New Roman" w:cs="Times New Roman"/>
          <w:sz w:val="24"/>
        </w:rPr>
      </w:pPr>
    </w:p>
    <w:sdt>
      <w:sdtPr>
        <w:rPr>
          <w:rFonts w:asciiTheme="minorHAnsi" w:eastAsiaTheme="minorHAnsi" w:hAnsiTheme="minorHAnsi" w:cstheme="minorBidi"/>
          <w:color w:val="auto"/>
          <w:sz w:val="22"/>
          <w:szCs w:val="22"/>
          <w:lang w:val="es-ES"/>
        </w:rPr>
        <w:id w:val="-1885398766"/>
        <w:docPartObj>
          <w:docPartGallery w:val="Bibliographies"/>
          <w:docPartUnique/>
        </w:docPartObj>
      </w:sdtPr>
      <w:sdtEndPr>
        <w:rPr>
          <w:lang w:val="es-HN"/>
        </w:rPr>
      </w:sdtEndPr>
      <w:sdtContent>
        <w:p w:rsidR="002C5146" w:rsidRDefault="002C5146">
          <w:pPr>
            <w:pStyle w:val="Ttulo1"/>
          </w:pPr>
          <w:r>
            <w:rPr>
              <w:lang w:val="es-ES"/>
            </w:rPr>
            <w:t>Referencias</w:t>
          </w:r>
        </w:p>
        <w:sdt>
          <w:sdtPr>
            <w:id w:val="-573587230"/>
            <w:bibliography/>
          </w:sdtPr>
          <w:sdtContent>
            <w:p w:rsidR="00EE357F" w:rsidRDefault="002C5146" w:rsidP="00EE357F">
              <w:pPr>
                <w:pStyle w:val="Bibliografa"/>
                <w:ind w:left="720" w:hanging="720"/>
                <w:rPr>
                  <w:noProof/>
                  <w:sz w:val="24"/>
                  <w:szCs w:val="24"/>
                </w:rPr>
              </w:pPr>
              <w:r>
                <w:fldChar w:fldCharType="begin"/>
              </w:r>
              <w:r>
                <w:instrText>BIBLIOGRAPHY</w:instrText>
              </w:r>
              <w:r>
                <w:fldChar w:fldCharType="separate"/>
              </w:r>
              <w:r w:rsidR="00EE357F">
                <w:rPr>
                  <w:noProof/>
                </w:rPr>
                <w:t xml:space="preserve">CET, (. E. (19 de 02 de 2019). Escuelas Católicas muestra su "rechazo" a la posibilidad de cierre de centros de Educación Especial. </w:t>
              </w:r>
              <w:r w:rsidR="00EE357F">
                <w:rPr>
                  <w:i/>
                  <w:iCs/>
                  <w:noProof/>
                </w:rPr>
                <w:t>europapress.es</w:t>
              </w:r>
              <w:r w:rsidR="00EE357F">
                <w:rPr>
                  <w:noProof/>
                </w:rPr>
                <w:t>. Obtenido de https://www.europapress.es/sociedad/educacion-00468/noticia-escuelas-catolicas-muestra-rechazo-posibilidad-cierre-centros-educacion-especial-20190219141242.html</w:t>
              </w:r>
            </w:p>
            <w:p w:rsidR="00EE357F" w:rsidRDefault="00EE357F" w:rsidP="00EE357F">
              <w:pPr>
                <w:pStyle w:val="Bibliografa"/>
                <w:ind w:left="720" w:hanging="720"/>
                <w:rPr>
                  <w:noProof/>
                </w:rPr>
              </w:pPr>
              <w:r>
                <w:rPr>
                  <w:noProof/>
                </w:rPr>
                <w:lastRenderedPageBreak/>
                <w:t xml:space="preserve">Gijón, R. (06 de 2019). Contra el cierre de líneas en los centros educativos públicos. </w:t>
              </w:r>
              <w:r>
                <w:rPr>
                  <w:i/>
                  <w:iCs/>
                  <w:noProof/>
                </w:rPr>
                <w:t>diarioarea.com</w:t>
              </w:r>
              <w:r>
                <w:rPr>
                  <w:noProof/>
                </w:rPr>
                <w:t>. Obtenido de https://www.diarioarea.com/2019/06/13/contra-el-cierre-de-lineas-en-los-centros-educativos-publicos/</w:t>
              </w:r>
            </w:p>
            <w:p w:rsidR="00EE357F" w:rsidRDefault="00EE357F" w:rsidP="00EE357F">
              <w:pPr>
                <w:pStyle w:val="Bibliografa"/>
                <w:ind w:left="720" w:hanging="720"/>
                <w:rPr>
                  <w:noProof/>
                </w:rPr>
              </w:pPr>
              <w:r>
                <w:rPr>
                  <w:noProof/>
                </w:rPr>
                <w:t xml:space="preserve">Gutiérrez, C. (16 de Marzo de 2016). La incertidumbre vuelve a planear sobre varios centros educativos. </w:t>
              </w:r>
              <w:r>
                <w:rPr>
                  <w:i/>
                  <w:iCs/>
                  <w:noProof/>
                </w:rPr>
                <w:t>madridiario.es</w:t>
              </w:r>
              <w:r>
                <w:rPr>
                  <w:noProof/>
                </w:rPr>
                <w:t>. Obtenido de https://www.madridiario.es/431849/incertidumbre-cierre-centros-educativos</w:t>
              </w:r>
            </w:p>
            <w:p w:rsidR="002C5146" w:rsidRDefault="002C5146" w:rsidP="00EE357F">
              <w:r>
                <w:rPr>
                  <w:b/>
                  <w:bCs/>
                </w:rPr>
                <w:fldChar w:fldCharType="end"/>
              </w:r>
            </w:p>
          </w:sdtContent>
        </w:sdt>
      </w:sdtContent>
    </w:sdt>
    <w:p w:rsidR="002C5146" w:rsidRPr="00F06385" w:rsidRDefault="002C5146" w:rsidP="006E1A5F">
      <w:pPr>
        <w:spacing w:line="480" w:lineRule="auto"/>
        <w:ind w:firstLine="420"/>
        <w:rPr>
          <w:rFonts w:ascii="Times New Roman" w:hAnsi="Times New Roman" w:cs="Times New Roman"/>
          <w:sz w:val="24"/>
        </w:rPr>
      </w:pPr>
    </w:p>
    <w:sectPr w:rsidR="002C5146" w:rsidRPr="00F063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0B8F"/>
    <w:multiLevelType w:val="multilevel"/>
    <w:tmpl w:val="50D2D8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AF"/>
    <w:rsid w:val="00004D39"/>
    <w:rsid w:val="00013CD4"/>
    <w:rsid w:val="00016409"/>
    <w:rsid w:val="0001790A"/>
    <w:rsid w:val="00027A8E"/>
    <w:rsid w:val="00052845"/>
    <w:rsid w:val="00077633"/>
    <w:rsid w:val="000D367D"/>
    <w:rsid w:val="000E158F"/>
    <w:rsid w:val="00104D15"/>
    <w:rsid w:val="0011474B"/>
    <w:rsid w:val="001222E6"/>
    <w:rsid w:val="001253E3"/>
    <w:rsid w:val="001274FA"/>
    <w:rsid w:val="00184A8D"/>
    <w:rsid w:val="001E4ED9"/>
    <w:rsid w:val="002C50EE"/>
    <w:rsid w:val="002C5146"/>
    <w:rsid w:val="002D1304"/>
    <w:rsid w:val="002E3359"/>
    <w:rsid w:val="002F41E0"/>
    <w:rsid w:val="003126C1"/>
    <w:rsid w:val="003A21F8"/>
    <w:rsid w:val="003B487A"/>
    <w:rsid w:val="003C63A8"/>
    <w:rsid w:val="003F7515"/>
    <w:rsid w:val="00413C2C"/>
    <w:rsid w:val="0041483E"/>
    <w:rsid w:val="00482F38"/>
    <w:rsid w:val="004B55BB"/>
    <w:rsid w:val="004E4214"/>
    <w:rsid w:val="00520F12"/>
    <w:rsid w:val="00547A8D"/>
    <w:rsid w:val="00567636"/>
    <w:rsid w:val="00575649"/>
    <w:rsid w:val="00590960"/>
    <w:rsid w:val="005A0711"/>
    <w:rsid w:val="006359B7"/>
    <w:rsid w:val="00692F87"/>
    <w:rsid w:val="00696185"/>
    <w:rsid w:val="006B1D52"/>
    <w:rsid w:val="006D3FA0"/>
    <w:rsid w:val="006D692C"/>
    <w:rsid w:val="006E0E01"/>
    <w:rsid w:val="006E1A5F"/>
    <w:rsid w:val="00710E69"/>
    <w:rsid w:val="007511A3"/>
    <w:rsid w:val="00776B6F"/>
    <w:rsid w:val="00792076"/>
    <w:rsid w:val="007A40BA"/>
    <w:rsid w:val="007F1552"/>
    <w:rsid w:val="0083084E"/>
    <w:rsid w:val="008B2BA8"/>
    <w:rsid w:val="008F55B7"/>
    <w:rsid w:val="009A57E4"/>
    <w:rsid w:val="009B0575"/>
    <w:rsid w:val="009E19F8"/>
    <w:rsid w:val="009E63D7"/>
    <w:rsid w:val="00A7363A"/>
    <w:rsid w:val="00A8055A"/>
    <w:rsid w:val="00A90244"/>
    <w:rsid w:val="00A91936"/>
    <w:rsid w:val="00AE07D9"/>
    <w:rsid w:val="00AE4EBA"/>
    <w:rsid w:val="00B42999"/>
    <w:rsid w:val="00B57D32"/>
    <w:rsid w:val="00B736AB"/>
    <w:rsid w:val="00B76552"/>
    <w:rsid w:val="00B76B5E"/>
    <w:rsid w:val="00BC09AF"/>
    <w:rsid w:val="00C46A02"/>
    <w:rsid w:val="00C81372"/>
    <w:rsid w:val="00C96CE7"/>
    <w:rsid w:val="00CA66BD"/>
    <w:rsid w:val="00CB13E6"/>
    <w:rsid w:val="00CC6998"/>
    <w:rsid w:val="00CE5168"/>
    <w:rsid w:val="00CF059C"/>
    <w:rsid w:val="00D07C18"/>
    <w:rsid w:val="00D61FD8"/>
    <w:rsid w:val="00DC2942"/>
    <w:rsid w:val="00E20C96"/>
    <w:rsid w:val="00E431B9"/>
    <w:rsid w:val="00E5620D"/>
    <w:rsid w:val="00E72329"/>
    <w:rsid w:val="00EB0AED"/>
    <w:rsid w:val="00ED0B43"/>
    <w:rsid w:val="00EE357F"/>
    <w:rsid w:val="00F06385"/>
    <w:rsid w:val="00F52753"/>
    <w:rsid w:val="00FC7EB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049F"/>
  <w15:chartTrackingRefBased/>
  <w15:docId w15:val="{67A4BBB5-A20B-4D00-B39B-33E185A9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0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09A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04D15"/>
    <w:pPr>
      <w:ind w:left="720"/>
      <w:contextualSpacing/>
    </w:pPr>
  </w:style>
  <w:style w:type="character" w:styleId="Textoennegrita">
    <w:name w:val="Strong"/>
    <w:basedOn w:val="Fuentedeprrafopredeter"/>
    <w:uiPriority w:val="22"/>
    <w:qFormat/>
    <w:rsid w:val="002D1304"/>
    <w:rPr>
      <w:b/>
      <w:bCs/>
    </w:rPr>
  </w:style>
  <w:style w:type="paragraph" w:styleId="Bibliografa">
    <w:name w:val="Bibliography"/>
    <w:basedOn w:val="Normal"/>
    <w:next w:val="Normal"/>
    <w:uiPriority w:val="37"/>
    <w:unhideWhenUsed/>
    <w:rsid w:val="002C5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33394">
      <w:bodyDiv w:val="1"/>
      <w:marLeft w:val="0"/>
      <w:marRight w:val="0"/>
      <w:marTop w:val="0"/>
      <w:marBottom w:val="0"/>
      <w:divBdr>
        <w:top w:val="none" w:sz="0" w:space="0" w:color="auto"/>
        <w:left w:val="none" w:sz="0" w:space="0" w:color="auto"/>
        <w:bottom w:val="none" w:sz="0" w:space="0" w:color="auto"/>
        <w:right w:val="none" w:sz="0" w:space="0" w:color="auto"/>
      </w:divBdr>
    </w:div>
    <w:div w:id="270826090">
      <w:bodyDiv w:val="1"/>
      <w:marLeft w:val="0"/>
      <w:marRight w:val="0"/>
      <w:marTop w:val="0"/>
      <w:marBottom w:val="0"/>
      <w:divBdr>
        <w:top w:val="none" w:sz="0" w:space="0" w:color="auto"/>
        <w:left w:val="none" w:sz="0" w:space="0" w:color="auto"/>
        <w:bottom w:val="none" w:sz="0" w:space="0" w:color="auto"/>
        <w:right w:val="none" w:sz="0" w:space="0" w:color="auto"/>
      </w:divBdr>
    </w:div>
    <w:div w:id="590046986">
      <w:bodyDiv w:val="1"/>
      <w:marLeft w:val="0"/>
      <w:marRight w:val="0"/>
      <w:marTop w:val="0"/>
      <w:marBottom w:val="0"/>
      <w:divBdr>
        <w:top w:val="none" w:sz="0" w:space="0" w:color="auto"/>
        <w:left w:val="none" w:sz="0" w:space="0" w:color="auto"/>
        <w:bottom w:val="none" w:sz="0" w:space="0" w:color="auto"/>
        <w:right w:val="none" w:sz="0" w:space="0" w:color="auto"/>
      </w:divBdr>
      <w:divsChild>
        <w:div w:id="392048020">
          <w:marLeft w:val="0"/>
          <w:marRight w:val="0"/>
          <w:marTop w:val="0"/>
          <w:marBottom w:val="0"/>
          <w:divBdr>
            <w:top w:val="none" w:sz="0" w:space="0" w:color="auto"/>
            <w:left w:val="none" w:sz="0" w:space="0" w:color="auto"/>
            <w:bottom w:val="none" w:sz="0" w:space="0" w:color="auto"/>
            <w:right w:val="none" w:sz="0" w:space="0" w:color="auto"/>
          </w:divBdr>
        </w:div>
      </w:divsChild>
    </w:div>
    <w:div w:id="674110935">
      <w:bodyDiv w:val="1"/>
      <w:marLeft w:val="0"/>
      <w:marRight w:val="0"/>
      <w:marTop w:val="0"/>
      <w:marBottom w:val="0"/>
      <w:divBdr>
        <w:top w:val="none" w:sz="0" w:space="0" w:color="auto"/>
        <w:left w:val="none" w:sz="0" w:space="0" w:color="auto"/>
        <w:bottom w:val="none" w:sz="0" w:space="0" w:color="auto"/>
        <w:right w:val="none" w:sz="0" w:space="0" w:color="auto"/>
      </w:divBdr>
    </w:div>
    <w:div w:id="949094147">
      <w:bodyDiv w:val="1"/>
      <w:marLeft w:val="0"/>
      <w:marRight w:val="0"/>
      <w:marTop w:val="0"/>
      <w:marBottom w:val="0"/>
      <w:divBdr>
        <w:top w:val="none" w:sz="0" w:space="0" w:color="auto"/>
        <w:left w:val="none" w:sz="0" w:space="0" w:color="auto"/>
        <w:bottom w:val="none" w:sz="0" w:space="0" w:color="auto"/>
        <w:right w:val="none" w:sz="0" w:space="0" w:color="auto"/>
      </w:divBdr>
    </w:div>
    <w:div w:id="997077209">
      <w:bodyDiv w:val="1"/>
      <w:marLeft w:val="0"/>
      <w:marRight w:val="0"/>
      <w:marTop w:val="0"/>
      <w:marBottom w:val="0"/>
      <w:divBdr>
        <w:top w:val="none" w:sz="0" w:space="0" w:color="auto"/>
        <w:left w:val="none" w:sz="0" w:space="0" w:color="auto"/>
        <w:bottom w:val="none" w:sz="0" w:space="0" w:color="auto"/>
        <w:right w:val="none" w:sz="0" w:space="0" w:color="auto"/>
      </w:divBdr>
    </w:div>
    <w:div w:id="1056121678">
      <w:bodyDiv w:val="1"/>
      <w:marLeft w:val="0"/>
      <w:marRight w:val="0"/>
      <w:marTop w:val="0"/>
      <w:marBottom w:val="0"/>
      <w:divBdr>
        <w:top w:val="none" w:sz="0" w:space="0" w:color="auto"/>
        <w:left w:val="none" w:sz="0" w:space="0" w:color="auto"/>
        <w:bottom w:val="none" w:sz="0" w:space="0" w:color="auto"/>
        <w:right w:val="none" w:sz="0" w:space="0" w:color="auto"/>
      </w:divBdr>
    </w:div>
    <w:div w:id="1094596624">
      <w:bodyDiv w:val="1"/>
      <w:marLeft w:val="0"/>
      <w:marRight w:val="0"/>
      <w:marTop w:val="0"/>
      <w:marBottom w:val="0"/>
      <w:divBdr>
        <w:top w:val="none" w:sz="0" w:space="0" w:color="auto"/>
        <w:left w:val="none" w:sz="0" w:space="0" w:color="auto"/>
        <w:bottom w:val="none" w:sz="0" w:space="0" w:color="auto"/>
        <w:right w:val="none" w:sz="0" w:space="0" w:color="auto"/>
      </w:divBdr>
    </w:div>
    <w:div w:id="1129518761">
      <w:bodyDiv w:val="1"/>
      <w:marLeft w:val="0"/>
      <w:marRight w:val="0"/>
      <w:marTop w:val="0"/>
      <w:marBottom w:val="0"/>
      <w:divBdr>
        <w:top w:val="none" w:sz="0" w:space="0" w:color="auto"/>
        <w:left w:val="none" w:sz="0" w:space="0" w:color="auto"/>
        <w:bottom w:val="none" w:sz="0" w:space="0" w:color="auto"/>
        <w:right w:val="none" w:sz="0" w:space="0" w:color="auto"/>
      </w:divBdr>
    </w:div>
    <w:div w:id="1196117739">
      <w:bodyDiv w:val="1"/>
      <w:marLeft w:val="0"/>
      <w:marRight w:val="0"/>
      <w:marTop w:val="0"/>
      <w:marBottom w:val="0"/>
      <w:divBdr>
        <w:top w:val="none" w:sz="0" w:space="0" w:color="auto"/>
        <w:left w:val="none" w:sz="0" w:space="0" w:color="auto"/>
        <w:bottom w:val="none" w:sz="0" w:space="0" w:color="auto"/>
        <w:right w:val="none" w:sz="0" w:space="0" w:color="auto"/>
      </w:divBdr>
    </w:div>
    <w:div w:id="1401827592">
      <w:bodyDiv w:val="1"/>
      <w:marLeft w:val="0"/>
      <w:marRight w:val="0"/>
      <w:marTop w:val="0"/>
      <w:marBottom w:val="0"/>
      <w:divBdr>
        <w:top w:val="none" w:sz="0" w:space="0" w:color="auto"/>
        <w:left w:val="none" w:sz="0" w:space="0" w:color="auto"/>
        <w:bottom w:val="none" w:sz="0" w:space="0" w:color="auto"/>
        <w:right w:val="none" w:sz="0" w:space="0" w:color="auto"/>
      </w:divBdr>
    </w:div>
    <w:div w:id="1427653733">
      <w:bodyDiv w:val="1"/>
      <w:marLeft w:val="0"/>
      <w:marRight w:val="0"/>
      <w:marTop w:val="0"/>
      <w:marBottom w:val="0"/>
      <w:divBdr>
        <w:top w:val="none" w:sz="0" w:space="0" w:color="auto"/>
        <w:left w:val="none" w:sz="0" w:space="0" w:color="auto"/>
        <w:bottom w:val="none" w:sz="0" w:space="0" w:color="auto"/>
        <w:right w:val="none" w:sz="0" w:space="0" w:color="auto"/>
      </w:divBdr>
    </w:div>
    <w:div w:id="1685008688">
      <w:bodyDiv w:val="1"/>
      <w:marLeft w:val="0"/>
      <w:marRight w:val="0"/>
      <w:marTop w:val="0"/>
      <w:marBottom w:val="0"/>
      <w:divBdr>
        <w:top w:val="none" w:sz="0" w:space="0" w:color="auto"/>
        <w:left w:val="none" w:sz="0" w:space="0" w:color="auto"/>
        <w:bottom w:val="none" w:sz="0" w:space="0" w:color="auto"/>
        <w:right w:val="none" w:sz="0" w:space="0" w:color="auto"/>
      </w:divBdr>
    </w:div>
    <w:div w:id="1739478225">
      <w:bodyDiv w:val="1"/>
      <w:marLeft w:val="0"/>
      <w:marRight w:val="0"/>
      <w:marTop w:val="0"/>
      <w:marBottom w:val="0"/>
      <w:divBdr>
        <w:top w:val="none" w:sz="0" w:space="0" w:color="auto"/>
        <w:left w:val="none" w:sz="0" w:space="0" w:color="auto"/>
        <w:bottom w:val="none" w:sz="0" w:space="0" w:color="auto"/>
        <w:right w:val="none" w:sz="0" w:space="0" w:color="auto"/>
      </w:divBdr>
    </w:div>
    <w:div w:id="1792281410">
      <w:bodyDiv w:val="1"/>
      <w:marLeft w:val="0"/>
      <w:marRight w:val="0"/>
      <w:marTop w:val="0"/>
      <w:marBottom w:val="0"/>
      <w:divBdr>
        <w:top w:val="none" w:sz="0" w:space="0" w:color="auto"/>
        <w:left w:val="none" w:sz="0" w:space="0" w:color="auto"/>
        <w:bottom w:val="none" w:sz="0" w:space="0" w:color="auto"/>
        <w:right w:val="none" w:sz="0" w:space="0" w:color="auto"/>
      </w:divBdr>
    </w:div>
    <w:div w:id="1804157949">
      <w:bodyDiv w:val="1"/>
      <w:marLeft w:val="0"/>
      <w:marRight w:val="0"/>
      <w:marTop w:val="0"/>
      <w:marBottom w:val="0"/>
      <w:divBdr>
        <w:top w:val="none" w:sz="0" w:space="0" w:color="auto"/>
        <w:left w:val="none" w:sz="0" w:space="0" w:color="auto"/>
        <w:bottom w:val="none" w:sz="0" w:space="0" w:color="auto"/>
        <w:right w:val="none" w:sz="0" w:space="0" w:color="auto"/>
      </w:divBdr>
    </w:div>
    <w:div w:id="1941833241">
      <w:bodyDiv w:val="1"/>
      <w:marLeft w:val="0"/>
      <w:marRight w:val="0"/>
      <w:marTop w:val="0"/>
      <w:marBottom w:val="0"/>
      <w:divBdr>
        <w:top w:val="none" w:sz="0" w:space="0" w:color="auto"/>
        <w:left w:val="none" w:sz="0" w:space="0" w:color="auto"/>
        <w:bottom w:val="none" w:sz="0" w:space="0" w:color="auto"/>
        <w:right w:val="none" w:sz="0" w:space="0" w:color="auto"/>
      </w:divBdr>
    </w:div>
    <w:div w:id="2011519025">
      <w:bodyDiv w:val="1"/>
      <w:marLeft w:val="0"/>
      <w:marRight w:val="0"/>
      <w:marTop w:val="0"/>
      <w:marBottom w:val="0"/>
      <w:divBdr>
        <w:top w:val="none" w:sz="0" w:space="0" w:color="auto"/>
        <w:left w:val="none" w:sz="0" w:space="0" w:color="auto"/>
        <w:bottom w:val="none" w:sz="0" w:space="0" w:color="auto"/>
        <w:right w:val="none" w:sz="0" w:space="0" w:color="auto"/>
      </w:divBdr>
    </w:div>
    <w:div w:id="2033917649">
      <w:bodyDiv w:val="1"/>
      <w:marLeft w:val="0"/>
      <w:marRight w:val="0"/>
      <w:marTop w:val="0"/>
      <w:marBottom w:val="0"/>
      <w:divBdr>
        <w:top w:val="none" w:sz="0" w:space="0" w:color="auto"/>
        <w:left w:val="none" w:sz="0" w:space="0" w:color="auto"/>
        <w:bottom w:val="none" w:sz="0" w:space="0" w:color="auto"/>
        <w:right w:val="none" w:sz="0" w:space="0" w:color="auto"/>
      </w:divBdr>
    </w:div>
    <w:div w:id="206957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vi\Downloads\Listados%20Finales\BILINGUE\Undecimo%20grado%20seccion%20A%20bilingu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91426071741032"/>
          <c:y val="0.11819444444444445"/>
          <c:w val="0.87753018372703417"/>
          <c:h val="0.70959135316418775"/>
        </c:manualLayout>
      </c:layout>
      <c:lineChart>
        <c:grouping val="standard"/>
        <c:varyColors val="0"/>
        <c:ser>
          <c:idx val="0"/>
          <c:order val="0"/>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Hoja2!$A$1:$F$1</c:f>
              <c:numCache>
                <c:formatCode>General</c:formatCode>
                <c:ptCount val="6"/>
                <c:pt idx="0">
                  <c:v>2014</c:v>
                </c:pt>
                <c:pt idx="1">
                  <c:v>2015</c:v>
                </c:pt>
                <c:pt idx="2">
                  <c:v>2016</c:v>
                </c:pt>
                <c:pt idx="3">
                  <c:v>2017</c:v>
                </c:pt>
                <c:pt idx="4">
                  <c:v>2018</c:v>
                </c:pt>
                <c:pt idx="5">
                  <c:v>2019</c:v>
                </c:pt>
              </c:numCache>
            </c:numRef>
          </c:cat>
          <c:val>
            <c:numRef>
              <c:f>Hoja2!$A$2:$F$2</c:f>
              <c:numCache>
                <c:formatCode>General</c:formatCode>
                <c:ptCount val="6"/>
                <c:pt idx="0">
                  <c:v>1560</c:v>
                </c:pt>
                <c:pt idx="1">
                  <c:v>1490</c:v>
                </c:pt>
                <c:pt idx="2">
                  <c:v>1510</c:v>
                </c:pt>
                <c:pt idx="3">
                  <c:v>1450</c:v>
                </c:pt>
                <c:pt idx="4">
                  <c:v>1430</c:v>
                </c:pt>
                <c:pt idx="5">
                  <c:v>1320</c:v>
                </c:pt>
              </c:numCache>
            </c:numRef>
          </c:val>
          <c:smooth val="0"/>
          <c:extLst>
            <c:ext xmlns:c16="http://schemas.microsoft.com/office/drawing/2014/chart" uri="{C3380CC4-5D6E-409C-BE32-E72D297353CC}">
              <c16:uniqueId val="{00000000-DAE8-4A64-AD73-546A1CB5DF0B}"/>
            </c:ext>
          </c:extLst>
        </c:ser>
        <c:dLbls>
          <c:showLegendKey val="0"/>
          <c:showVal val="1"/>
          <c:showCatName val="0"/>
          <c:showSerName val="0"/>
          <c:showPercent val="0"/>
          <c:showBubbleSize val="0"/>
        </c:dLbls>
        <c:smooth val="0"/>
        <c:axId val="432703840"/>
        <c:axId val="432704496"/>
      </c:lineChart>
      <c:catAx>
        <c:axId val="43270384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432704496"/>
        <c:crosses val="autoZero"/>
        <c:auto val="1"/>
        <c:lblAlgn val="ctr"/>
        <c:lblOffset val="100"/>
        <c:noMultiLvlLbl val="0"/>
      </c:catAx>
      <c:valAx>
        <c:axId val="43270449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43270384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Gut16</b:Tag>
    <b:SourceType>ArticleInAPeriodical</b:SourceType>
    <b:Guid>{5425AA76-C588-4353-9E00-176BBF00A52A}</b:Guid>
    <b:Title>La incertidumbre vuelve a planear sobre varios centros educativos</b:Title>
    <b:Year>2016</b:Year>
    <b:Month>Marzo</b:Month>
    <b:Day>16</b:Day>
    <b:URL>https://www.madridiario.es/431849/incertidumbre-cierre-centros-educativos</b:URL>
    <b:Author>
      <b:Author>
        <b:NameList>
          <b:Person>
            <b:Last>Gutiérrez</b:Last>
            <b:First>Carmen</b:First>
          </b:Person>
        </b:NameList>
      </b:Author>
    </b:Author>
    <b:PeriodicalTitle>madridiario.es</b:PeriodicalTitle>
    <b:City>Madrid</b:City>
    <b:RefOrder>5</b:RefOrder>
  </b:Source>
  <b:Source>
    <b:Tag>Tim19</b:Tag>
    <b:SourceType>ArticleInAPeriodical</b:SourceType>
    <b:Guid>{F9A8E1E3-D7B5-4AB1-B187-0005618D212A}</b:Guid>
    <b:Author>
      <b:Author>
        <b:NameList>
          <b:Person>
            <b:Last>CET</b:Last>
            <b:First>(Central</b:First>
            <b:Middle>Europea</b:Middle>
          </b:Person>
        </b:NameList>
      </b:Author>
    </b:Author>
    <b:Title>Escuelas Católicas muestra su "rechazo" a la posibilidad de cierre de centros de Educación Especial</b:Title>
    <b:PeriodicalTitle>europapress.es</b:PeriodicalTitle>
    <b:Year>2019</b:Year>
    <b:Month>02</b:Month>
    <b:Day>19</b:Day>
    <b:URL>https://www.europapress.es/sociedad/educacion-00468/noticia-escuelas-catolicas-muestra-rechazo-posibilidad-cierre-centros-educacion-especial-20190219141242.html</b:URL>
    <b:RefOrder>6</b:RefOrder>
  </b:Source>
  <b:Source>
    <b:Tag>Gij19</b:Tag>
    <b:SourceType>ArticleInAPeriodical</b:SourceType>
    <b:Guid>{43161FFB-15C0-4949-8E71-E531DCCFD3C7}</b:Guid>
    <b:Author>
      <b:Author>
        <b:NameList>
          <b:Person>
            <b:Last>Gijón</b:Last>
            <b:First>Raquel</b:First>
          </b:Person>
        </b:NameList>
      </b:Author>
    </b:Author>
    <b:Title>Contra el cierre de líneas en los centros educativos públicos</b:Title>
    <b:PeriodicalTitle>diarioarea.com</b:PeriodicalTitle>
    <b:Year>2019</b:Year>
    <b:Month>06</b:Month>
    <b:URL>https://www.diarioarea.com/2019/06/13/contra-el-cierre-de-lineas-en-los-centros-educativos-publicos/</b:URL>
    <b:RefOrder>7</b:RefOrder>
  </b:Source>
  <b:Source>
    <b:Tag>LAP181</b:Tag>
    <b:SourceType>InternetSite</b:SourceType>
    <b:Guid>{03F940DC-695A-4E14-8279-A995A0ECE38C}</b:Guid>
    <b:Author>
      <b:Author>
        <b:Corporate>LAPRENSA</b:Corporate>
      </b:Author>
    </b:Author>
    <b:Title>laprensa.hn</b:Title>
    <b:Year>2018</b:Year>
    <b:Month>agosto</b:Month>
    <b:Day>5</b:Day>
    <b:URL>https://www.laprensa.hn/honduras/1204353-410/tasa-desercion-escolar-honduras-educacion-</b:URL>
    <b:RefOrder>1</b:RefOrder>
  </b:Source>
  <b:Source>
    <b:Tag>LAP182</b:Tag>
    <b:SourceType>InternetSite</b:SourceType>
    <b:Guid>{AE9A4B71-A195-4B86-B681-A43AD5C9552C}</b:Guid>
    <b:Author>
      <b:Author>
        <b:Corporate>LAPRENSA</b:Corporate>
      </b:Author>
    </b:Author>
    <b:Title>laprensa.hn</b:Title>
    <b:Year>2018</b:Year>
    <b:Month>septiembre</b:Month>
    <b:Day>20</b:Day>
    <b:URL>https://www.laprensa.hn/honduras/1218200-410/educacacion-falta-matr%C3%ADcula-centros-educativos-privados-honduras-</b:URL>
    <b:RefOrder>3</b:RefOrder>
  </b:Source>
  <b:Source>
    <b:Tag>ELH14</b:Tag>
    <b:SourceType>InternetSite</b:SourceType>
    <b:Guid>{723B0A1E-BEA7-4D16-BBC8-8292ADEFAA6B}</b:Guid>
    <b:Author>
      <b:Author>
        <b:Corporate>ELHERALDO</b:Corporate>
      </b:Author>
    </b:Author>
    <b:Title>elheraldo.hn</b:Title>
    <b:Year>2014</b:Year>
    <b:Month>abril</b:Month>
    <b:Day>28</b:Day>
    <b:URL>https://www.elheraldo.hn/pais/702355-214/cerrar%C3%A1n-23-centros-educativos-ilegales</b:URL>
    <b:RefOrder>2</b:RefOrder>
  </b:Source>
  <b:Source>
    <b:Tag>ELH151</b:Tag>
    <b:SourceType>InternetSite</b:SourceType>
    <b:Guid>{11EEA4FB-607C-4BDA-BFC9-A7D1E04DB562}</b:Guid>
    <b:Author>
      <b:Author>
        <b:Corporate>ELHERALDO</b:Corporate>
      </b:Author>
    </b:Author>
    <b:Title>elheraldo.hn</b:Title>
    <b:Year>2015</b:Year>
    <b:URL>https://www.elheraldo.hn/pais/805822-215/baja-matr%C3%ADcula-obliga-cierre-de-jornada-nocturna-en-el-intae</b:URL>
    <b:RefOrder>4</b:RefOrder>
  </b:Source>
</b:Sources>
</file>

<file path=customXml/itemProps1.xml><?xml version="1.0" encoding="utf-8"?>
<ds:datastoreItem xmlns:ds="http://schemas.openxmlformats.org/officeDocument/2006/customXml" ds:itemID="{71F192BC-A517-4758-8996-426FEBC46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5194</TotalTime>
  <Pages>9</Pages>
  <Words>1830</Words>
  <Characters>10066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toro cruz</dc:creator>
  <cp:keywords/>
  <dc:description/>
  <cp:lastModifiedBy>marvin toro cruz</cp:lastModifiedBy>
  <cp:revision>18</cp:revision>
  <dcterms:created xsi:type="dcterms:W3CDTF">2019-07-02T19:30:00Z</dcterms:created>
  <dcterms:modified xsi:type="dcterms:W3CDTF">2019-07-21T00:38:00Z</dcterms:modified>
</cp:coreProperties>
</file>