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Libre Franklin" w:cs="Libre Franklin" w:eastAsia="Libre Franklin" w:hAnsi="Libre Franklin"/>
          <w:b/>
          <w:bCs/>
          <w:color w:val="303A42"/>
          <w:sz w:val="60"/>
          <w:szCs w:val="60"/>
        </w:rPr>
        <w:t xml:space="preserve">APEX</w:t>
      </w:r>
    </w:p>
    <w:p>
      <w:pPr>
        <w:spacing w:after="100"/>
        <w:jc w:val="center"/>
      </w:pPr>
      <w:r>
        <w:rPr>
          <w:rFonts w:ascii="Libre Franklin" w:cs="Libre Franklin" w:eastAsia="Libre Franklin" w:hAnsi="Libre Franklin"/>
          <w:color w:val="800000"/>
          <w:sz w:val="30"/>
          <w:szCs w:val="30"/>
        </w:rPr>
        <w:t xml:space="preserve">Marketing Intelligence &amp; Operations Platform</w:t>
      </w:r>
    </w:p>
    <w:p>
      <w:pPr>
        <w:spacing w:after="600"/>
        <w:jc w:val="center"/>
      </w:pPr>
      <w:r>
        <w:rPr>
          <w:rFonts w:ascii="Libre Franklin" w:cs="Libre Franklin" w:eastAsia="Libre Franklin" w:hAnsi="Libre Franklin"/>
          <w:color w:val="62727E"/>
          <w:sz w:val="26"/>
          <w:szCs w:val="26"/>
        </w:rPr>
        <w:t xml:space="preserve">Build Specification  |  v2.0</w:t>
      </w:r>
    </w:p>
    <w:p>
      <w:pPr>
        <w:pBdr>
          <w:top w:val="single" w:color="FF0016" w:sz="6" w:space="1"/>
        </w:pBdr>
        <w:spacing w:after="200" w:before="400"/>
        <w:jc w:val="center"/>
      </w:pPr>
    </w:p>
    <w:p>
      <w:pPr>
        <w:spacing w:after="80"/>
        <w:jc w:val="center"/>
      </w:pPr>
      <w:r>
        <w:rPr>
          <w:rFonts w:ascii="Libre Franklin" w:cs="Libre Franklin" w:eastAsia="Libre Franklin" w:hAnsi="Libre Franklin"/>
          <w:color w:val="303A42"/>
          <w:sz w:val="22"/>
          <w:szCs w:val="22"/>
        </w:rPr>
        <w:t xml:space="preserve">Prepared by: RVGT Product Team</w:t>
      </w:r>
    </w:p>
    <w:p>
      <w:pPr>
        <w:spacing w:after="80"/>
        <w:jc w:val="center"/>
      </w:pPr>
      <w:r>
        <w:rPr>
          <w:rFonts w:ascii="Libre Franklin" w:cs="Libre Franklin" w:eastAsia="Libre Franklin" w:hAnsi="Libre Franklin"/>
          <w:color w:val="303A42"/>
          <w:sz w:val="22"/>
          <w:szCs w:val="22"/>
        </w:rPr>
        <w:t xml:space="preserve">Date: May 7, 2026</w:t>
      </w:r>
    </w:p>
    <w:p>
      <w:pPr>
        <w:spacing w:before="600"/>
        <w:jc w:val="center"/>
      </w:pPr>
      <w:r>
        <w:rPr>
          <w:rFonts w:ascii="Libre Franklin" w:cs="Libre Franklin" w:eastAsia="Libre Franklin" w:hAnsi="Libre Franklin"/>
          <w:color w:val="9BA6B1"/>
          <w:sz w:val="18"/>
          <w:szCs w:val="18"/>
        </w:rPr>
        <w:t xml:space="preserve">© Red Ventures 2026  |  Confidential and Proprietary</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Libre Franklin" w:cs="Libre Franklin" w:eastAsia="Libre Franklin" w:hAnsi="Libre Franklin"/>
          <w:color w:val="303A42"/>
          <w:sz w:val="22"/>
          <w:szCs w:val="22"/>
        </w:rPr>
        <w:t xml:space="preserve">Apex is RVGT’s marketing intelligence and operations platform — a CMO command center that monitors, manages, and models the full-funnel marketing strategy for financial institution clients. It serves two audiences: active client teams who need real-time operational control, and BD teams who need to demonstrate RVGT’s impact thesis to prospects.</w:t>
      </w:r>
    </w:p>
    <w:p>
      <w:pPr>
        <w:spacing w:after="200"/>
      </w:pPr>
    </w:p>
    <w:p>
      <w:pPr>
        <w:spacing w:after="120"/>
      </w:pPr>
      <w:r>
        <w:rPr>
          <w:rFonts w:ascii="Libre Franklin" w:cs="Libre Franklin" w:eastAsia="Libre Franklin" w:hAnsi="Libre Franklin"/>
          <w:b/>
          <w:bCs/>
          <w:color w:val="303A42"/>
          <w:sz w:val="22"/>
          <w:szCs w:val="22"/>
        </w:rPr>
        <w:t xml:space="preserve">The platform consists of nine modules: </w:t>
      </w:r>
      <w:r>
        <w:rPr>
          <w:rFonts w:ascii="Libre Franklin" w:cs="Libre Franklin" w:eastAsia="Libre Franklin" w:hAnsi="Libre Franklin"/>
          <w:color w:val="303A42"/>
          <w:sz w:val="22"/>
          <w:szCs w:val="22"/>
        </w:rPr>
        <w:t xml:space="preserve">an Executive Scorecard, Spend Allocation &amp; Budget Management, Acquisition Funnel, Onboarding &amp; Retention, Paid Channel Performance, Organic &amp; AEO Intelligence, Product &amp; Experience Innovation, Operations Command, and a Full-Funnel Acquisition Simulator. The first eight modules power day-to-day operations for active engagements. The ninth — the Simulator — is a dual-mode tool that serves both active client planning and BD prospect pitches.</w:t>
      </w:r>
    </w:p>
    <w:p>
      <w:pPr>
        <w:spacing w:after="200"/>
      </w:pPr>
    </w:p>
    <w:p>
      <w:pPr>
        <w:spacing w:after="120"/>
      </w:pPr>
      <w:r>
        <w:rPr>
          <w:rFonts w:ascii="Libre Franklin" w:cs="Libre Franklin" w:eastAsia="Libre Franklin" w:hAnsi="Libre Franklin"/>
          <w:b/>
          <w:bCs/>
          <w:color w:val="303A42"/>
          <w:sz w:val="22"/>
          <w:szCs w:val="22"/>
        </w:rPr>
        <w:t xml:space="preserve">Companion application — Kamino: </w:t>
      </w:r>
      <w:r>
        <w:rPr>
          <w:rFonts w:ascii="Libre Franklin" w:cs="Libre Franklin" w:eastAsia="Libre Franklin" w:hAnsi="Libre Franklin"/>
          <w:color w:val="303A42"/>
          <w:sz w:val="22"/>
          <w:szCs w:val="22"/>
        </w:rPr>
        <w:t xml:space="preserve">Apex’s sister app handles execution-layer automation (campaign launches, bid adjustments, audience syncs, trigger-based communications, A/B test deployment, abandonment recovery sequences). Apex observes, surfaces, and enables decisions. Kamino executes them. When a CMO makes an allocation change in Apex, it generates a directive that Kamino picks up and acts on. The two apps share a common data contract but are independently deployable.</w:t>
      </w:r>
    </w:p>
    <w:p>
      <w:pPr>
        <w:spacing w:after="200"/>
      </w:pPr>
    </w:p>
    <w:p>
      <w:pPr>
        <w:pStyle w:val="Heading2"/>
      </w:pPr>
      <w:r>
        <w:t xml:space="preserve">1.1 Design principles</w:t>
      </w:r>
    </w:p>
    <w:p>
      <w:pPr>
        <w:pStyle w:val="ListParagraph"/>
        <w:numPr>
          <w:ilvl w:val="0"/>
          <w:numId w:val="2"/>
        </w:numPr>
        <w:spacing w:after="60"/>
      </w:pPr>
      <w:r>
        <w:rPr>
          <w:rFonts w:ascii="Libre Franklin" w:cs="Libre Franklin" w:eastAsia="Libre Franklin" w:hAnsi="Libre Franklin"/>
          <w:color w:val="303A42"/>
          <w:sz w:val="22"/>
          <w:szCs w:val="22"/>
        </w:rPr>
        <w:t xml:space="preserve">80/20 allocation focus — a CMO should spend 80% of time on strategic decisions, not pulling reports.</w:t>
      </w:r>
    </w:p>
    <w:p>
      <w:pPr>
        <w:pStyle w:val="ListParagraph"/>
        <w:numPr>
          <w:ilvl w:val="0"/>
          <w:numId w:val="2"/>
        </w:numPr>
        <w:spacing w:after="60"/>
      </w:pPr>
      <w:r>
        <w:rPr>
          <w:rFonts w:ascii="Libre Franklin" w:cs="Libre Franklin" w:eastAsia="Libre Franklin" w:hAnsi="Libre Franklin"/>
          <w:color w:val="303A42"/>
          <w:sz w:val="22"/>
          <w:szCs w:val="22"/>
        </w:rPr>
        <w:t xml:space="preserve">Decision-forward surfaces — every module shows the minimum viable data to make a decision, with drill-down for the 20% that needs investigation.</w:t>
      </w:r>
    </w:p>
    <w:p>
      <w:pPr>
        <w:pStyle w:val="ListParagraph"/>
        <w:numPr>
          <w:ilvl w:val="0"/>
          <w:numId w:val="2"/>
        </w:numPr>
        <w:spacing w:after="60"/>
      </w:pPr>
      <w:r>
        <w:rPr>
          <w:rFonts w:ascii="Libre Franklin" w:cs="Libre Franklin" w:eastAsia="Libre Franklin" w:hAnsi="Libre Franklin"/>
          <w:color w:val="303A42"/>
          <w:sz w:val="22"/>
          <w:szCs w:val="22"/>
        </w:rPr>
        <w:t xml:space="preserve">Client-agnostic architecture — all modules are parameterized by client instance. No hardcoded bank names, system names, or DMA counts.</w:t>
      </w:r>
    </w:p>
    <w:p>
      <w:pPr>
        <w:pStyle w:val="ListParagraph"/>
        <w:numPr>
          <w:ilvl w:val="0"/>
          <w:numId w:val="2"/>
        </w:numPr>
        <w:spacing w:after="60"/>
      </w:pPr>
      <w:r>
        <w:rPr>
          <w:rFonts w:ascii="Libre Franklin" w:cs="Libre Franklin" w:eastAsia="Libre Franklin" w:hAnsi="Libre Franklin"/>
          <w:color w:val="303A42"/>
          <w:sz w:val="22"/>
          <w:szCs w:val="22"/>
        </w:rPr>
        <w:t xml:space="preserve">Dual-mode by design — the Simulator works with live client data OR industry benchmarks for prospects.</w:t>
      </w:r>
    </w:p>
    <w:p>
      <w:pPr>
        <w:spacing w:after="200"/>
      </w:pPr>
    </w:p>
    <w:p>
      <w:pPr>
        <w:pStyle w:val="Heading2"/>
      </w:pPr>
      <w:r>
        <w:t xml:space="preserve">1.2 Data source inventory</w:t>
      </w:r>
    </w:p>
    <w:p>
      <w:pPr>
        <w:spacing w:after="120"/>
      </w:pPr>
      <w:r>
        <w:rPr>
          <w:rFonts w:ascii="Libre Franklin" w:cs="Libre Franklin" w:eastAsia="Libre Franklin" w:hAnsi="Libre Franklin"/>
          <w:color w:val="303A42"/>
          <w:sz w:val="22"/>
          <w:szCs w:val="22"/>
        </w:rPr>
        <w:t xml:space="preserve">Apex ingests from any combination of the following, configured per client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Source Category</w:t>
            </w:r>
          </w:p>
        </w:tc>
        <w:tc>
          <w:tcPr>
            <w:tcW w:type="dxa" w:w="22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Example Systems</w:t>
            </w:r>
          </w:p>
        </w:tc>
        <w:tc>
          <w:tcPr>
            <w:tcW w:type="dxa" w:w="26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Data Type</w:t>
            </w:r>
          </w:p>
        </w:tc>
        <w:tc>
          <w:tcPr>
            <w:tcW w:type="dxa" w:w="256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Refresh</w:t>
            </w:r>
          </w:p>
        </w:tc>
      </w:tr>
      <w:tr>
        <w:tc>
          <w:tcPr>
            <w:tcW w:type="dxa" w:w="2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Search Advertising</w:t>
            </w:r>
          </w:p>
        </w:tc>
        <w:tc>
          <w:tcPr>
            <w:tcW w:type="dxa" w:w="2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Google Ads, Microsoft Ads</w:t>
            </w:r>
          </w:p>
        </w:tc>
        <w:tc>
          <w:tcPr>
            <w:tcW w:type="dxa" w:w="26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SEM performance, VBB signals, PMax</w:t>
            </w:r>
          </w:p>
        </w:tc>
        <w:tc>
          <w:tcPr>
            <w:tcW w:type="dxa" w:w="2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Near real-time (15 min)</w:t>
            </w:r>
          </w:p>
        </w:tc>
      </w:tr>
      <w:tr>
        <w:tc>
          <w:tcPr>
            <w:tcW w:type="dxa" w:w="2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Social Advertising</w:t>
            </w:r>
          </w:p>
        </w:tc>
        <w:tc>
          <w:tcPr>
            <w:tcW w:type="dxa" w:w="2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Meta Ads Manager, TikTok, LinkedIn</w:t>
            </w:r>
          </w:p>
        </w:tc>
        <w:tc>
          <w:tcPr>
            <w:tcW w:type="dxa" w:w="26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Paid social performance, CPL, audience metrics</w:t>
            </w:r>
          </w:p>
        </w:tc>
        <w:tc>
          <w:tcPr>
            <w:tcW w:type="dxa" w:w="2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Hourly</w:t>
            </w:r>
          </w:p>
        </w:tc>
      </w:tr>
      <w:tr>
        <w:tc>
          <w:tcPr>
            <w:tcW w:type="dxa" w:w="2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Marketing Automation</w:t>
            </w:r>
          </w:p>
        </w:tc>
        <w:tc>
          <w:tcPr>
            <w:tcW w:type="dxa" w:w="2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Salesforce MC, Braze, Iterable</w:t>
            </w:r>
          </w:p>
        </w:tc>
        <w:tc>
          <w:tcPr>
            <w:tcW w:type="dxa" w:w="26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Email/SMS/push metrics, persona segments, NBA decisioning</w:t>
            </w:r>
          </w:p>
        </w:tc>
        <w:tc>
          <w:tcPr>
            <w:tcW w:type="dxa" w:w="2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Hourly</w:t>
            </w:r>
          </w:p>
        </w:tc>
      </w:tr>
      <w:tr>
        <w:tc>
          <w:tcPr>
            <w:tcW w:type="dxa" w:w="2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CRM / Core Banking</w:t>
            </w:r>
          </w:p>
        </w:tc>
        <w:tc>
          <w:tcPr>
            <w:tcW w:type="dxa" w:w="2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Salesforce CRM, nCino, FIS, Fiserv</w:t>
            </w:r>
          </w:p>
        </w:tc>
        <w:tc>
          <w:tcPr>
            <w:tcW w:type="dxa" w:w="26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Account opens, funded status, product attachment, PFI milestones</w:t>
            </w:r>
          </w:p>
        </w:tc>
        <w:tc>
          <w:tcPr>
            <w:tcW w:type="dxa" w:w="2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Daily</w:t>
            </w:r>
          </w:p>
        </w:tc>
      </w:tr>
      <w:tr>
        <w:tc>
          <w:tcPr>
            <w:tcW w:type="dxa" w:w="2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Behavioral Data Layer</w:t>
            </w:r>
          </w:p>
        </w:tc>
        <w:tc>
          <w:tcPr>
            <w:tcW w:type="dxa" w:w="2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Segment, mParticle, Tealium, custom ETL</w:t>
            </w:r>
          </w:p>
        </w:tc>
        <w:tc>
          <w:tcPr>
            <w:tcW w:type="dxa" w:w="26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Cross-channel event stitching, session data, behavioral triggers</w:t>
            </w:r>
          </w:p>
        </w:tc>
        <w:tc>
          <w:tcPr>
            <w:tcW w:type="dxa" w:w="2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Near real-time</w:t>
            </w:r>
          </w:p>
        </w:tc>
      </w:tr>
      <w:tr>
        <w:tc>
          <w:tcPr>
            <w:tcW w:type="dxa" w:w="2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Offer Management</w:t>
            </w:r>
          </w:p>
        </w:tc>
        <w:tc>
          <w:tcPr>
            <w:tcW w:type="dxa" w:w="2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Salesforce Offers, Pega, custom engines</w:t>
            </w:r>
          </w:p>
        </w:tc>
        <w:tc>
          <w:tcPr>
            <w:tcW w:type="dxa" w:w="26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Offer eligibility, stacked offers, fulfillment tracking</w:t>
            </w:r>
          </w:p>
        </w:tc>
        <w:tc>
          <w:tcPr>
            <w:tcW w:type="dxa" w:w="2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Real-time</w:t>
            </w:r>
          </w:p>
        </w:tc>
      </w:tr>
      <w:tr>
        <w:tc>
          <w:tcPr>
            <w:tcW w:type="dxa" w:w="2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Attribution / ETL</w:t>
            </w:r>
          </w:p>
        </w:tc>
        <w:tc>
          <w:tcPr>
            <w:tcW w:type="dxa" w:w="2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RVGT proprietary data stitching pipeline</w:t>
            </w:r>
          </w:p>
        </w:tc>
        <w:tc>
          <w:tcPr>
            <w:tcW w:type="dxa" w:w="26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Full-funnel attribution, prospect attributes, event aggregation</w:t>
            </w:r>
          </w:p>
        </w:tc>
        <w:tc>
          <w:tcPr>
            <w:tcW w:type="dxa" w:w="2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Daily batch</w:t>
            </w:r>
          </w:p>
        </w:tc>
      </w:tr>
      <w:tr>
        <w:tc>
          <w:tcPr>
            <w:tcW w:type="dxa" w:w="2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AEO / SEO Tools</w:t>
            </w:r>
          </w:p>
        </w:tc>
        <w:tc>
          <w:tcPr>
            <w:tcW w:type="dxa" w:w="2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Profound, BrightEdge, SEMrush, Ahrefs</w:t>
            </w:r>
          </w:p>
        </w:tc>
        <w:tc>
          <w:tcPr>
            <w:tcW w:type="dxa" w:w="26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LLM Visibility Score, organic rankings, competitive intel</w:t>
            </w:r>
          </w:p>
        </w:tc>
        <w:tc>
          <w:tcPr>
            <w:tcW w:type="dxa" w:w="2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Weekly</w:t>
            </w:r>
          </w:p>
        </w:tc>
      </w:tr>
      <w:tr>
        <w:tc>
          <w:tcPr>
            <w:tcW w:type="dxa" w:w="2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Foot Traffic</w:t>
            </w:r>
          </w:p>
        </w:tc>
        <w:tc>
          <w:tcPr>
            <w:tcW w:type="dxa" w:w="2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Placer.ai, SafeGraph</w:t>
            </w:r>
          </w:p>
        </w:tc>
        <w:tc>
          <w:tcPr>
            <w:tcW w:type="dxa" w:w="26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Branch visit data, competitive location intelligence</w:t>
            </w:r>
          </w:p>
        </w:tc>
        <w:tc>
          <w:tcPr>
            <w:tcW w:type="dxa" w:w="2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Weekly</w:t>
            </w:r>
          </w:p>
        </w:tc>
      </w:tr>
      <w:tr>
        <w:tc>
          <w:tcPr>
            <w:tcW w:type="dxa" w:w="2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Web Analytics</w:t>
            </w:r>
          </w:p>
        </w:tc>
        <w:tc>
          <w:tcPr>
            <w:tcW w:type="dxa" w:w="2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GA4, Adobe Analytics</w:t>
            </w:r>
          </w:p>
        </w:tc>
        <w:tc>
          <w:tcPr>
            <w:tcW w:type="dxa" w:w="26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Site sessions, conversion events, landing page metrics</w:t>
            </w:r>
          </w:p>
        </w:tc>
        <w:tc>
          <w:tcPr>
            <w:tcW w:type="dxa" w:w="2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Near real-time</w:t>
            </w:r>
          </w:p>
        </w:tc>
      </w:tr>
      <w:tr>
        <w:tc>
          <w:tcPr>
            <w:tcW w:type="dxa" w:w="2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Competitive Intel</w:t>
            </w:r>
          </w:p>
        </w:tc>
        <w:tc>
          <w:tcPr>
            <w:tcW w:type="dxa" w:w="2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Sensor Tower, SimilarWeb, Pathmatics</w:t>
            </w:r>
          </w:p>
        </w:tc>
        <w:tc>
          <w:tcPr>
            <w:tcW w:type="dxa" w:w="26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Ad spend intelligence, traffic estimates, creative monitoring</w:t>
            </w:r>
          </w:p>
        </w:tc>
        <w:tc>
          <w:tcPr>
            <w:tcW w:type="dxa" w:w="2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Monthly</w:t>
            </w:r>
          </w:p>
        </w:tc>
      </w:tr>
      <w:tr>
        <w:tc>
          <w:tcPr>
            <w:tcW w:type="dxa" w:w="2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Life Event / Mover Data</w:t>
            </w:r>
          </w:p>
        </w:tc>
        <w:tc>
          <w:tcPr>
            <w:tcW w:type="dxa" w:w="2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USPS NCOA, mover data providers</w:t>
            </w:r>
          </w:p>
        </w:tc>
        <w:tc>
          <w:tcPr>
            <w:tcW w:type="dxa" w:w="26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Residential mover signals, life event indicators</w:t>
            </w:r>
          </w:p>
        </w:tc>
        <w:tc>
          <w:tcPr>
            <w:tcW w:type="dxa" w:w="2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Daily</w:t>
            </w:r>
          </w:p>
        </w:tc>
      </w:tr>
      <w:tr>
        <w:tc>
          <w:tcPr>
            <w:tcW w:type="dxa" w:w="2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Client Internal Systems</w:t>
            </w:r>
          </w:p>
        </w:tc>
        <w:tc>
          <w:tcPr>
            <w:tcW w:type="dxa" w:w="2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Client data warehouse, BI platforms</w:t>
            </w:r>
          </w:p>
        </w:tc>
        <w:tc>
          <w:tcPr>
            <w:tcW w:type="dxa" w:w="26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HH production, retention cohorts, fraud closures, financial performance</w:t>
            </w:r>
          </w:p>
        </w:tc>
        <w:tc>
          <w:tcPr>
            <w:tcW w:type="dxa" w:w="2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Daily</w:t>
            </w:r>
          </w:p>
        </w:tc>
      </w:tr>
      <w:tr>
        <w:tc>
          <w:tcPr>
            <w:tcW w:type="dxa" w:w="2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Project Management</w:t>
            </w:r>
          </w:p>
        </w:tc>
        <w:tc>
          <w:tcPr>
            <w:tcW w:type="dxa" w:w="2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Jira, Asana, Monday, Linear</w:t>
            </w:r>
          </w:p>
        </w:tc>
        <w:tc>
          <w:tcPr>
            <w:tcW w:type="dxa" w:w="26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Sprint status, ticket velocity, team capacity</w:t>
            </w:r>
          </w:p>
        </w:tc>
        <w:tc>
          <w:tcPr>
            <w:tcW w:type="dxa" w:w="2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Real-time</w:t>
            </w:r>
          </w:p>
        </w:tc>
      </w:tr>
    </w:tbl>
    <w:p>
      <w:pPr>
        <w:spacing w:after="200"/>
      </w:pPr>
    </w:p>
    <w:p>
      <w:r>
        <w:br w:type="page"/>
      </w:r>
    </w:p>
    <w:p>
      <w:pPr>
        <w:pStyle w:val="Heading1"/>
      </w:pPr>
      <w:r>
        <w:t xml:space="preserve">2. Module 1: Executive scorecard</w:t>
      </w:r>
    </w:p>
    <w:p>
      <w:pPr>
        <w:spacing w:after="120"/>
      </w:pPr>
      <w:r>
        <w:rPr>
          <w:rFonts w:ascii="Libre Franklin" w:cs="Libre Franklin" w:eastAsia="Libre Franklin" w:hAnsi="Libre Franklin"/>
          <w:color w:val="303A42"/>
          <w:sz w:val="22"/>
          <w:szCs w:val="22"/>
        </w:rPr>
        <w:t xml:space="preserve">The landing page. Shows the CMO exactly where the engagement stands against contractual KPIs. Green/yellow/red for every metric, 12-week sparklines showing trajectory, and an alert feed linking to the relevant module for any threshold breach.</w:t>
      </w:r>
    </w:p>
    <w:p>
      <w:pPr>
        <w:spacing w:after="200"/>
      </w:pPr>
    </w:p>
    <w:p>
      <w:pPr>
        <w:pStyle w:val="Heading2"/>
      </w:pPr>
      <w:r>
        <w:t xml:space="preserve">2.1 Primary KPI panel</w:t>
      </w:r>
    </w:p>
    <w:p>
      <w:pPr>
        <w:spacing w:after="120"/>
      </w:pPr>
      <w:r>
        <w:rPr>
          <w:rFonts w:ascii="Libre Franklin" w:cs="Libre Franklin" w:eastAsia="Libre Franklin" w:hAnsi="Libre Franklin"/>
          <w:color w:val="303A42"/>
          <w:sz w:val="22"/>
          <w:szCs w:val="22"/>
        </w:rPr>
        <w:t xml:space="preserve">KPIs are configured per client instance. The following is the standard RVGT KPI set — clients may add, remove, or adjust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KPI</w:t>
            </w:r>
          </w:p>
        </w:tc>
        <w:tc>
          <w:tcPr>
            <w:tcW w:type="dxa" w:w="20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Typical Target</w:t>
            </w:r>
          </w:p>
        </w:tc>
        <w:tc>
          <w:tcPr>
            <w:tcW w:type="dxa" w:w="24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Source Category</w:t>
            </w:r>
          </w:p>
        </w:tc>
        <w:tc>
          <w:tcPr>
            <w:tcW w:type="dxa" w:w="256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Alert Threshold</w:t>
            </w:r>
          </w:p>
        </w:tc>
      </w:tr>
      <w:tr>
        <w:tc>
          <w:tcPr>
            <w:tcW w:type="dxa" w:w="24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Net Household Growth</w:t>
            </w:r>
          </w:p>
        </w:tc>
        <w:tc>
          <w:tcPr>
            <w:tcW w:type="dxa" w:w="2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Client-specific CAGR target</w:t>
            </w:r>
          </w:p>
        </w:tc>
        <w:tc>
          <w:tcPr>
            <w:tcW w:type="dxa" w:w="24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Client Internal + Attribution ETL</w:t>
            </w:r>
          </w:p>
        </w:tc>
        <w:tc>
          <w:tcPr>
            <w:tcW w:type="dxa" w:w="2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&lt; 95% of pace</w:t>
            </w:r>
          </w:p>
        </w:tc>
      </w:tr>
      <w:tr>
        <w:tc>
          <w:tcPr>
            <w:tcW w:type="dxa" w:w="24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MOB6 Retention Rate</w:t>
            </w:r>
          </w:p>
        </w:tc>
        <w:tc>
          <w:tcPr>
            <w:tcW w:type="dxa" w:w="2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Industry: 70–80%</w:t>
            </w:r>
          </w:p>
        </w:tc>
        <w:tc>
          <w:tcPr>
            <w:tcW w:type="dxa" w:w="24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CRM cohort analysis</w:t>
            </w:r>
          </w:p>
        </w:tc>
        <w:tc>
          <w:tcPr>
            <w:tcW w:type="dxa" w:w="2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2+ pts below target</w:t>
            </w:r>
          </w:p>
        </w:tc>
      </w:tr>
      <w:tr>
        <w:tc>
          <w:tcPr>
            <w:tcW w:type="dxa" w:w="24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Brand Capture Rate</w:t>
            </w:r>
          </w:p>
        </w:tc>
        <w:tc>
          <w:tcPr>
            <w:tcW w:type="dxa" w:w="2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Maintain or grow</w:t>
            </w:r>
          </w:p>
        </w:tc>
        <w:tc>
          <w:tcPr>
            <w:tcW w:type="dxa" w:w="24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Attribution ETL + Web Analytics</w:t>
            </w:r>
          </w:p>
        </w:tc>
        <w:tc>
          <w:tcPr>
            <w:tcW w:type="dxa" w:w="2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Drop &gt; 5pts MoM</w:t>
            </w:r>
          </w:p>
        </w:tc>
      </w:tr>
      <w:tr>
        <w:tc>
          <w:tcPr>
            <w:tcW w:type="dxa" w:w="24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Cost Per Incremental HH (CPIHH)</w:t>
            </w:r>
          </w:p>
        </w:tc>
        <w:tc>
          <w:tcPr>
            <w:tcW w:type="dxa" w:w="2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Declining QoQ</w:t>
            </w:r>
          </w:p>
        </w:tc>
        <w:tc>
          <w:tcPr>
            <w:tcW w:type="dxa" w:w="24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Attribution ETL + Media spend</w:t>
            </w:r>
          </w:p>
        </w:tc>
        <w:tc>
          <w:tcPr>
            <w:tcW w:type="dxa" w:w="2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QoQ increase &gt; 10%</w:t>
            </w:r>
          </w:p>
        </w:tc>
      </w:tr>
      <w:tr>
        <w:tc>
          <w:tcPr>
            <w:tcW w:type="dxa" w:w="24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LLM Visibility Score</w:t>
            </w:r>
          </w:p>
        </w:tc>
        <w:tc>
          <w:tcPr>
            <w:tcW w:type="dxa" w:w="2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Increasing trend</w:t>
            </w:r>
          </w:p>
        </w:tc>
        <w:tc>
          <w:tcPr>
            <w:tcW w:type="dxa" w:w="24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AEO tools</w:t>
            </w:r>
          </w:p>
        </w:tc>
        <w:tc>
          <w:tcPr>
            <w:tcW w:type="dxa" w:w="2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MoM decline &gt; 5pts</w:t>
            </w:r>
          </w:p>
        </w:tc>
      </w:tr>
      <w:tr>
        <w:tc>
          <w:tcPr>
            <w:tcW w:type="dxa" w:w="24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Application Completion Rate</w:t>
            </w:r>
          </w:p>
        </w:tc>
        <w:tc>
          <w:tcPr>
            <w:tcW w:type="dxa" w:w="2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50% (vs. 40% industry avg)</w:t>
            </w:r>
          </w:p>
        </w:tc>
        <w:tc>
          <w:tcPr>
            <w:tcW w:type="dxa" w:w="24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Web Analytics + CRM</w:t>
            </w:r>
          </w:p>
        </w:tc>
        <w:tc>
          <w:tcPr>
            <w:tcW w:type="dxa" w:w="2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WoW decline &gt; 3pts</w:t>
            </w:r>
          </w:p>
        </w:tc>
      </w:tr>
      <w:tr>
        <w:tc>
          <w:tcPr>
            <w:tcW w:type="dxa" w:w="24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Onboarding Activation (Day 30 DD)</w:t>
            </w:r>
          </w:p>
        </w:tc>
        <w:tc>
          <w:tcPr>
            <w:tcW w:type="dxa" w:w="2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50% direct deposit enrollment</w:t>
            </w:r>
          </w:p>
        </w:tc>
        <w:tc>
          <w:tcPr>
            <w:tcW w:type="dxa" w:w="24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CRM + Behavioral Data Layer</w:t>
            </w:r>
          </w:p>
        </w:tc>
        <w:tc>
          <w:tcPr>
            <w:tcW w:type="dxa" w:w="2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&lt; 45%</w:t>
            </w:r>
          </w:p>
        </w:tc>
      </w:tr>
    </w:tbl>
    <w:p>
      <w:pPr>
        <w:spacing w:after="200"/>
      </w:pPr>
    </w:p>
    <w:p>
      <w:pPr>
        <w:pStyle w:val="Heading2"/>
      </w:pPr>
      <w:r>
        <w:t xml:space="preserve">2.2 Financial summary strip</w:t>
      </w:r>
    </w:p>
    <w:p>
      <w:pPr>
        <w:pStyle w:val="ListParagraph"/>
        <w:numPr>
          <w:ilvl w:val="0"/>
          <w:numId w:val="3"/>
        </w:numPr>
        <w:spacing w:after="60"/>
      </w:pPr>
      <w:r>
        <w:rPr>
          <w:rFonts w:ascii="Libre Franklin" w:cs="Libre Franklin" w:eastAsia="Libre Franklin" w:hAnsi="Libre Franklin"/>
          <w:color w:val="303A42"/>
          <w:sz w:val="22"/>
          <w:szCs w:val="22"/>
        </w:rPr>
        <w:t xml:space="preserve">Total media spend MTD / QTD / YTD vs. plan</w:t>
      </w:r>
    </w:p>
    <w:p>
      <w:pPr>
        <w:pStyle w:val="ListParagraph"/>
        <w:numPr>
          <w:ilvl w:val="0"/>
          <w:numId w:val="3"/>
        </w:numPr>
        <w:spacing w:after="60"/>
      </w:pPr>
      <w:r>
        <w:rPr>
          <w:rFonts w:ascii="Libre Franklin" w:cs="Libre Franklin" w:eastAsia="Libre Franklin" w:hAnsi="Libre Franklin"/>
          <w:color w:val="303A42"/>
          <w:sz w:val="22"/>
          <w:szCs w:val="22"/>
        </w:rPr>
        <w:t xml:space="preserve">Blended CPL and CPIHH with trend arrows</w:t>
      </w:r>
    </w:p>
    <w:p>
      <w:pPr>
        <w:pStyle w:val="ListParagraph"/>
        <w:numPr>
          <w:ilvl w:val="0"/>
          <w:numId w:val="3"/>
        </w:numPr>
        <w:spacing w:after="60"/>
      </w:pPr>
      <w:r>
        <w:rPr>
          <w:rFonts w:ascii="Libre Franklin" w:cs="Libre Franklin" w:eastAsia="Libre Franklin" w:hAnsi="Libre Franklin"/>
          <w:color w:val="303A42"/>
          <w:sz w:val="22"/>
          <w:szCs w:val="22"/>
        </w:rPr>
        <w:t xml:space="preserve">Revenue attribution estimate (LTV of acquired HHs)</w:t>
      </w:r>
    </w:p>
    <w:p>
      <w:pPr>
        <w:pStyle w:val="ListParagraph"/>
        <w:numPr>
          <w:ilvl w:val="0"/>
          <w:numId w:val="3"/>
        </w:numPr>
        <w:spacing w:after="60"/>
      </w:pPr>
      <w:r>
        <w:rPr>
          <w:rFonts w:ascii="Libre Franklin" w:cs="Libre Franklin" w:eastAsia="Libre Franklin" w:hAnsi="Libre Franklin"/>
          <w:color w:val="303A42"/>
          <w:sz w:val="22"/>
          <w:szCs w:val="22"/>
        </w:rPr>
        <w:t xml:space="preserve">Brand media burn rate vs. annual budget</w:t>
      </w:r>
    </w:p>
    <w:p>
      <w:pPr>
        <w:pStyle w:val="ListParagraph"/>
        <w:numPr>
          <w:ilvl w:val="0"/>
          <w:numId w:val="3"/>
        </w:numPr>
        <w:spacing w:after="60"/>
      </w:pPr>
      <w:r>
        <w:rPr>
          <w:rFonts w:ascii="Libre Franklin" w:cs="Libre Franklin" w:eastAsia="Libre Franklin" w:hAnsi="Libre Franklin"/>
          <w:color w:val="303A42"/>
          <w:sz w:val="22"/>
          <w:szCs w:val="22"/>
        </w:rPr>
        <w:t xml:space="preserve">Overlay/incremental campaign spend vs. budget</w:t>
      </w:r>
    </w:p>
    <w:p>
      <w:pPr>
        <w:spacing w:after="200"/>
      </w:pPr>
    </w:p>
    <w:p>
      <w:pPr>
        <w:pStyle w:val="Heading2"/>
      </w:pPr>
      <w:r>
        <w:t xml:space="preserve">2.3 Trend sparklines</w:t>
      </w:r>
    </w:p>
    <w:p>
      <w:pPr>
        <w:spacing w:after="120"/>
      </w:pPr>
      <w:r>
        <w:rPr>
          <w:rFonts w:ascii="Libre Franklin" w:cs="Libre Franklin" w:eastAsia="Libre Franklin" w:hAnsi="Libre Franklin"/>
          <w:color w:val="303A42"/>
          <w:sz w:val="22"/>
          <w:szCs w:val="22"/>
        </w:rPr>
        <w:t xml:space="preserve">Each KPI card includes a 12-week sparkline. Color-coded: green (improving), yellow (flat), red (declining). The sparkline distinguishes between a KPI that is below target but improving vs. one that is below target and worsening — a critical distinction for the CMO.</w:t>
      </w:r>
    </w:p>
    <w:p>
      <w:pPr>
        <w:spacing w:after="200"/>
      </w:pPr>
    </w:p>
    <w:p>
      <w:pPr>
        <w:pStyle w:val="Heading2"/>
      </w:pPr>
      <w:r>
        <w:t xml:space="preserve">2.4 Alert feed</w:t>
      </w:r>
    </w:p>
    <w:p>
      <w:pPr>
        <w:spacing w:after="120"/>
      </w:pPr>
      <w:r>
        <w:rPr>
          <w:rFonts w:ascii="Libre Franklin" w:cs="Libre Franklin" w:eastAsia="Libre Franklin" w:hAnsi="Libre Franklin"/>
          <w:color w:val="303A42"/>
          <w:sz w:val="22"/>
          <w:szCs w:val="22"/>
        </w:rPr>
        <w:t xml:space="preserve">Scrolling feed of the 10 most recent alerts, categorized by severity (Critical / Warning / Info). Each alert links to the relevant module drill-down. The alert engine is defined in Section 12.</w:t>
      </w:r>
    </w:p>
    <w:p>
      <w:pPr>
        <w:spacing w:after="200"/>
      </w:pPr>
    </w:p>
    <w:p>
      <w:r>
        <w:br w:type="page"/>
      </w:r>
    </w:p>
    <w:p>
      <w:pPr>
        <w:pStyle w:val="Heading1"/>
      </w:pPr>
      <w:r>
        <w:t xml:space="preserve">3. Module 2: Spend allocation &amp; budget management</w:t>
      </w:r>
    </w:p>
    <w:p>
      <w:pPr>
        <w:spacing w:after="120"/>
      </w:pPr>
      <w:r>
        <w:rPr>
          <w:rFonts w:ascii="Libre Franklin" w:cs="Libre Franklin" w:eastAsia="Libre Franklin" w:hAnsi="Libre Franklin"/>
          <w:color w:val="303A42"/>
          <w:sz w:val="22"/>
          <w:szCs w:val="22"/>
        </w:rPr>
        <w:t xml:space="preserve">The CMO’s primary operational control surface. Allocation decisions happen here — adjusting channel mix, shifting budget between geographic markets, approving incremental spend, and modeling scenarios before committing. Changes generate directives that Kamino executes.</w:t>
      </w:r>
    </w:p>
    <w:p>
      <w:pPr>
        <w:spacing w:after="200"/>
      </w:pPr>
    </w:p>
    <w:p>
      <w:pPr>
        <w:pStyle w:val="Heading2"/>
      </w:pPr>
      <w:r>
        <w:t xml:space="preserve">3.1 Budget overview</w:t>
      </w:r>
    </w:p>
    <w:p>
      <w:pPr>
        <w:spacing w:after="120"/>
      </w:pPr>
      <w:r>
        <w:rPr>
          <w:rFonts w:ascii="Libre Franklin" w:cs="Libre Franklin" w:eastAsia="Libre Franklin" w:hAnsi="Libre Franklin"/>
          <w:color w:val="303A42"/>
          <w:sz w:val="22"/>
          <w:szCs w:val="22"/>
        </w:rPr>
        <w:t xml:space="preserve">Configured per client. Standard budget categories for a full-funnel FI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Budget Category</w:t>
            </w:r>
          </w:p>
        </w:tc>
        <w:tc>
          <w:tcPr>
            <w:tcW w:type="dxa" w:w="20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Typical Range</w:t>
            </w:r>
          </w:p>
        </w:tc>
        <w:tc>
          <w:tcPr>
            <w:tcW w:type="dxa" w:w="456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Controls</w:t>
            </w:r>
          </w:p>
        </w:tc>
      </w:tr>
      <w:tr>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Brand Media (Mass Market)</w:t>
            </w:r>
          </w:p>
        </w:tc>
        <w:tc>
          <w:tcPr>
            <w:tcW w:type="dxa" w:w="2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$5M–$15M annual</w:t>
            </w:r>
          </w:p>
        </w:tc>
        <w:tc>
          <w:tcPr>
            <w:tcW w:type="dxa" w:w="4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Market tier allocation, channel mix sliders, frequency cap targets</w:t>
            </w:r>
          </w:p>
        </w:tc>
      </w:tr>
      <w:tr>
        <w:tc>
          <w:tcPr>
            <w:tcW w:type="dxa" w:w="2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High-Value Segment Overlay</w:t>
            </w:r>
          </w:p>
        </w:tc>
        <w:tc>
          <w:tcPr>
            <w:tcW w:type="dxa" w:w="2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$2M–$6M incremental</w:t>
            </w:r>
          </w:p>
        </w:tc>
        <w:tc>
          <w:tcPr>
            <w:tcW w:type="dxa" w:w="4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Life event campaign toggles, income threshold, market targeting</w:t>
            </w:r>
          </w:p>
        </w:tc>
      </w:tr>
      <w:tr>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Performance Media (SEM)</w:t>
            </w:r>
          </w:p>
        </w:tc>
        <w:tc>
          <w:tcPr>
            <w:tcW w:type="dxa" w:w="2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Variable monthly base</w:t>
            </w:r>
          </w:p>
        </w:tc>
        <w:tc>
          <w:tcPr>
            <w:tcW w:type="dxa" w:w="4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Keyword category budgets, match type ratios, bid strategy targets</w:t>
            </w:r>
          </w:p>
        </w:tc>
      </w:tr>
      <w:tr>
        <w:tc>
          <w:tcPr>
            <w:tcW w:type="dxa" w:w="2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Paid Social</w:t>
            </w:r>
          </w:p>
        </w:tc>
        <w:tc>
          <w:tcPr>
            <w:tcW w:type="dxa" w:w="2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 of brand media allocation</w:t>
            </w:r>
          </w:p>
        </w:tc>
        <w:tc>
          <w:tcPr>
            <w:tcW w:type="dxa" w:w="4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Platform budget, native vs. landing page split, audience caps</w:t>
            </w:r>
          </w:p>
        </w:tc>
      </w:tr>
      <w:tr>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SEO / AEO</w:t>
            </w:r>
          </w:p>
        </w:tc>
        <w:tc>
          <w:tcPr>
            <w:tcW w:type="dxa" w:w="2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Headcount + tool costs</w:t>
            </w:r>
          </w:p>
        </w:tc>
        <w:tc>
          <w:tcPr>
            <w:tcW w:type="dxa" w:w="4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Content priority, tool subscriptions, testing budget</w:t>
            </w:r>
          </w:p>
        </w:tc>
      </w:tr>
      <w:tr>
        <w:tc>
          <w:tcPr>
            <w:tcW w:type="dxa" w:w="2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Conversion / Testing</w:t>
            </w:r>
          </w:p>
        </w:tc>
        <w:tc>
          <w:tcPr>
            <w:tcW w:type="dxa" w:w="2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Included in engagement fee</w:t>
            </w:r>
          </w:p>
        </w:tc>
        <w:tc>
          <w:tcPr>
            <w:tcW w:type="dxa" w:w="4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Test velocity targets, personalization budget</w:t>
            </w:r>
          </w:p>
        </w:tc>
      </w:tr>
    </w:tbl>
    <w:p>
      <w:pPr>
        <w:spacing w:after="200"/>
      </w:pPr>
    </w:p>
    <w:p>
      <w:pPr>
        <w:pStyle w:val="Heading2"/>
      </w:pPr>
      <w:r>
        <w:t xml:space="preserve">3.2 Channel mix control</w:t>
      </w:r>
    </w:p>
    <w:p>
      <w:pPr>
        <w:spacing w:after="120"/>
      </w:pPr>
      <w:r>
        <w:rPr>
          <w:rFonts w:ascii="Libre Franklin" w:cs="Libre Franklin" w:eastAsia="Libre Franklin" w:hAnsi="Libre Franklin"/>
          <w:color w:val="303A42"/>
          <w:sz w:val="22"/>
          <w:szCs w:val="22"/>
        </w:rPr>
        <w:t xml:space="preserve">Interactive sliders for the brand media channel mix, constrained to strategic ranges set during engagement planning. The CMO drags allocations within approved bands; exceeding them triggers a confirmation dialog. Constraint ranges are configurable per client.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W w:type="dxa" w:w="24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Channel</w:t>
            </w:r>
          </w:p>
        </w:tc>
        <w:tc>
          <w:tcPr>
            <w:tcW w:type="dxa" w:w="16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Typical Min</w:t>
            </w:r>
          </w:p>
        </w:tc>
        <w:tc>
          <w:tcPr>
            <w:tcW w:type="dxa" w:w="16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Typical Max</w:t>
            </w:r>
          </w:p>
        </w:tc>
        <w:tc>
          <w:tcPr>
            <w:tcW w:type="dxa" w:w="376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Adjustment Authority</w:t>
            </w:r>
          </w:p>
        </w:tc>
      </w:tr>
      <w:tr>
        <w:tc>
          <w:tcPr>
            <w:tcW w:type="dxa" w:w="24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CTV / OLV</w:t>
            </w:r>
          </w:p>
        </w:tc>
        <w:tc>
          <w:tcPr>
            <w:tcW w:type="dxa" w:w="16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30%</w:t>
            </w:r>
          </w:p>
        </w:tc>
        <w:tc>
          <w:tcPr>
            <w:tcW w:type="dxa" w:w="16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50%</w:t>
            </w:r>
          </w:p>
        </w:tc>
        <w:tc>
          <w:tcPr>
            <w:tcW w:type="dxa" w:w="37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CMO direct</w:t>
            </w:r>
          </w:p>
        </w:tc>
      </w:tr>
      <w:tr>
        <w:tc>
          <w:tcPr>
            <w:tcW w:type="dxa" w:w="24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Paid Social</w:t>
            </w:r>
          </w:p>
        </w:tc>
        <w:tc>
          <w:tcPr>
            <w:tcW w:type="dxa" w:w="16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25%</w:t>
            </w:r>
          </w:p>
        </w:tc>
        <w:tc>
          <w:tcPr>
            <w:tcW w:type="dxa" w:w="16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50%</w:t>
            </w:r>
          </w:p>
        </w:tc>
        <w:tc>
          <w:tcPr>
            <w:tcW w:type="dxa" w:w="37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CMO direct</w:t>
            </w:r>
          </w:p>
        </w:tc>
      </w:tr>
      <w:tr>
        <w:tc>
          <w:tcPr>
            <w:tcW w:type="dxa" w:w="24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Streaming Audio</w:t>
            </w:r>
          </w:p>
        </w:tc>
        <w:tc>
          <w:tcPr>
            <w:tcW w:type="dxa" w:w="16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5%</w:t>
            </w:r>
          </w:p>
        </w:tc>
        <w:tc>
          <w:tcPr>
            <w:tcW w:type="dxa" w:w="16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20%</w:t>
            </w:r>
          </w:p>
        </w:tc>
        <w:tc>
          <w:tcPr>
            <w:tcW w:type="dxa" w:w="37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CMO direct</w:t>
            </w:r>
          </w:p>
        </w:tc>
      </w:tr>
      <w:tr>
        <w:tc>
          <w:tcPr>
            <w:tcW w:type="dxa" w:w="24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Local SEO + LSA</w:t>
            </w:r>
          </w:p>
        </w:tc>
        <w:tc>
          <w:tcPr>
            <w:tcW w:type="dxa" w:w="16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Always-on</w:t>
            </w:r>
          </w:p>
        </w:tc>
        <w:tc>
          <w:tcPr>
            <w:tcW w:type="dxa" w:w="16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Always-on</w:t>
            </w:r>
          </w:p>
        </w:tc>
        <w:tc>
          <w:tcPr>
            <w:tcW w:type="dxa" w:w="37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Auto-managed by Kamino</w:t>
            </w:r>
          </w:p>
        </w:tc>
      </w:tr>
    </w:tbl>
    <w:p>
      <w:pPr>
        <w:spacing w:after="200"/>
      </w:pPr>
    </w:p>
    <w:p>
      <w:pPr>
        <w:pStyle w:val="Heading2"/>
      </w:pPr>
      <w:r>
        <w:t xml:space="preserve">3.3 Geographic market allocation matrix</w:t>
      </w:r>
    </w:p>
    <w:p>
      <w:pPr>
        <w:spacing w:after="120"/>
      </w:pPr>
      <w:r>
        <w:rPr>
          <w:rFonts w:ascii="Libre Franklin" w:cs="Libre Franklin" w:eastAsia="Libre Franklin" w:hAnsi="Libre Franklin"/>
          <w:color w:val="303A42"/>
          <w:sz w:val="22"/>
          <w:szCs w:val="22"/>
        </w:rPr>
        <w:t xml:space="preserve">A matrix showing each market (DMA or custom geography), its strategic tier, current monthly spend, brand health score, retention rate, and CPIHH. The CMO can re-tier a market with drag-and-drop; Apex recalculates the budget redistribution and projected HH impact in real time before confirming.</w:t>
      </w:r>
    </w:p>
    <w:p>
      <w:pPr>
        <w:spacing w:after="200"/>
      </w:pPr>
    </w:p>
    <w:p>
      <w:pPr>
        <w:spacing w:after="120"/>
      </w:pPr>
      <w:r>
        <w:rPr>
          <w:rFonts w:ascii="Libre Franklin" w:cs="Libre Franklin" w:eastAsia="Libre Franklin" w:hAnsi="Libre Franklin"/>
          <w:b/>
          <w:bCs/>
          <w:color w:val="303A42"/>
          <w:sz w:val="22"/>
          <w:szCs w:val="22"/>
        </w:rPr>
        <w:t xml:space="preserve">Key features:</w:t>
      </w:r>
    </w:p>
    <w:p>
      <w:pPr>
        <w:pStyle w:val="ListParagraph"/>
        <w:numPr>
          <w:ilvl w:val="0"/>
          <w:numId w:val="3"/>
        </w:numPr>
        <w:spacing w:after="60"/>
      </w:pPr>
      <w:r>
        <w:rPr>
          <w:rFonts w:ascii="Libre Franklin" w:cs="Libre Franklin" w:eastAsia="Libre Franklin" w:hAnsi="Libre Franklin"/>
          <w:color w:val="303A42"/>
          <w:sz w:val="22"/>
          <w:szCs w:val="22"/>
        </w:rPr>
        <w:t xml:space="preserve">Tier reassignment with budget impact preview</w:t>
      </w:r>
    </w:p>
    <w:p>
      <w:pPr>
        <w:pStyle w:val="ListParagraph"/>
        <w:numPr>
          <w:ilvl w:val="0"/>
          <w:numId w:val="3"/>
        </w:numPr>
        <w:spacing w:after="60"/>
      </w:pPr>
      <w:r>
        <w:rPr>
          <w:rFonts w:ascii="Libre Franklin" w:cs="Libre Franklin" w:eastAsia="Libre Franklin" w:hAnsi="Libre Franklin"/>
          <w:color w:val="303A42"/>
          <w:sz w:val="22"/>
          <w:szCs w:val="22"/>
        </w:rPr>
        <w:t xml:space="preserve">Active/Control experiment pairing for incrementality measurement</w:t>
      </w:r>
    </w:p>
    <w:p>
      <w:pPr>
        <w:pStyle w:val="ListParagraph"/>
        <w:numPr>
          <w:ilvl w:val="0"/>
          <w:numId w:val="3"/>
        </w:numPr>
        <w:spacing w:after="60"/>
      </w:pPr>
      <w:r>
        <w:rPr>
          <w:rFonts w:ascii="Libre Franklin" w:cs="Libre Franklin" w:eastAsia="Libre Franklin" w:hAnsi="Libre Franklin"/>
          <w:color w:val="303A42"/>
          <w:sz w:val="22"/>
          <w:szCs w:val="22"/>
        </w:rPr>
        <w:t xml:space="preserve">Brand health trend overlay (sparklines per market)</w:t>
      </w:r>
    </w:p>
    <w:p>
      <w:pPr>
        <w:pStyle w:val="ListParagraph"/>
        <w:numPr>
          <w:ilvl w:val="0"/>
          <w:numId w:val="3"/>
        </w:numPr>
        <w:spacing w:after="60"/>
      </w:pPr>
      <w:r>
        <w:rPr>
          <w:rFonts w:ascii="Libre Franklin" w:cs="Libre Franklin" w:eastAsia="Libre Franklin" w:hAnsi="Libre Franklin"/>
          <w:color w:val="303A42"/>
          <w:sz w:val="22"/>
          <w:szCs w:val="22"/>
        </w:rPr>
        <w:t xml:space="preserve">Retention heat map (color-code markets by retention rate)</w:t>
      </w:r>
    </w:p>
    <w:p>
      <w:pPr>
        <w:pStyle w:val="ListParagraph"/>
        <w:numPr>
          <w:ilvl w:val="0"/>
          <w:numId w:val="3"/>
        </w:numPr>
        <w:spacing w:after="60"/>
      </w:pPr>
      <w:r>
        <w:rPr>
          <w:rFonts w:ascii="Libre Franklin" w:cs="Libre Franklin" w:eastAsia="Libre Franklin" w:hAnsi="Libre Franklin"/>
          <w:color w:val="303A42"/>
          <w:sz w:val="22"/>
          <w:szCs w:val="22"/>
        </w:rPr>
        <w:t xml:space="preserve">Frequency compliance flags (markets below effective reach threshold)</w:t>
      </w:r>
    </w:p>
    <w:p>
      <w:pPr>
        <w:spacing w:after="200"/>
      </w:pPr>
    </w:p>
    <w:p>
      <w:pPr>
        <w:pStyle w:val="Heading2"/>
      </w:pPr>
      <w:r>
        <w:t xml:space="preserve">3.4 Scenario modeling</w:t>
      </w:r>
    </w:p>
    <w:p>
      <w:pPr>
        <w:spacing w:after="120"/>
      </w:pPr>
      <w:r>
        <w:rPr>
          <w:rFonts w:ascii="Libre Franklin" w:cs="Libre Franklin" w:eastAsia="Libre Franklin" w:hAnsi="Libre Franklin"/>
          <w:color w:val="303A42"/>
          <w:sz w:val="22"/>
          <w:szCs w:val="22"/>
        </w:rPr>
        <w:t xml:space="preserve">Before committing a budget change, the CMO runs a what-if scenario. Apex pulls historical performance data and projects the impact on HH production, retention, and CPIHH. This uses the same attribution model as the client’s data stitching pipeline. See also Module 9 (Simulator) for standalone prospective modeling.</w:t>
      </w:r>
    </w:p>
    <w:p>
      <w:pPr>
        <w:spacing w:after="200"/>
      </w:pPr>
    </w:p>
    <w:p>
      <w:pPr>
        <w:spacing w:after="120"/>
      </w:pPr>
      <w:r>
        <w:rPr>
          <w:rFonts w:ascii="Libre Franklin" w:cs="Libre Franklin" w:eastAsia="Libre Franklin" w:hAnsi="Libre Franklin"/>
          <w:b/>
          <w:bCs/>
          <w:color w:val="303A42"/>
          <w:sz w:val="22"/>
          <w:szCs w:val="22"/>
        </w:rPr>
        <w:t xml:space="preserve">Scenario variables:</w:t>
      </w:r>
    </w:p>
    <w:p>
      <w:pPr>
        <w:pStyle w:val="ListParagraph"/>
        <w:numPr>
          <w:ilvl w:val="0"/>
          <w:numId w:val="3"/>
        </w:numPr>
        <w:spacing w:after="60"/>
      </w:pPr>
      <w:r>
        <w:rPr>
          <w:rFonts w:ascii="Libre Franklin" w:cs="Libre Franklin" w:eastAsia="Libre Franklin" w:hAnsi="Libre Franklin"/>
          <w:color w:val="303A42"/>
          <w:sz w:val="22"/>
          <w:szCs w:val="22"/>
        </w:rPr>
        <w:t xml:space="preserve">Shift $X from Channel A to Channel B</w:t>
      </w:r>
    </w:p>
    <w:p>
      <w:pPr>
        <w:pStyle w:val="ListParagraph"/>
        <w:numPr>
          <w:ilvl w:val="0"/>
          <w:numId w:val="3"/>
        </w:numPr>
        <w:spacing w:after="60"/>
      </w:pPr>
      <w:r>
        <w:rPr>
          <w:rFonts w:ascii="Libre Franklin" w:cs="Libre Franklin" w:eastAsia="Libre Franklin" w:hAnsi="Libre Franklin"/>
          <w:color w:val="303A42"/>
          <w:sz w:val="22"/>
          <w:szCs w:val="22"/>
        </w:rPr>
        <w:t xml:space="preserve">Add / remove markets from growth tiers</w:t>
      </w:r>
    </w:p>
    <w:p>
      <w:pPr>
        <w:pStyle w:val="ListParagraph"/>
        <w:numPr>
          <w:ilvl w:val="0"/>
          <w:numId w:val="3"/>
        </w:numPr>
        <w:spacing w:after="60"/>
      </w:pPr>
      <w:r>
        <w:rPr>
          <w:rFonts w:ascii="Libre Franklin" w:cs="Libre Franklin" w:eastAsia="Libre Franklin" w:hAnsi="Libre Franklin"/>
          <w:color w:val="303A42"/>
          <w:sz w:val="22"/>
          <w:szCs w:val="22"/>
        </w:rPr>
        <w:t xml:space="preserve">Increase / decrease high-value segment overlay spend</w:t>
      </w:r>
    </w:p>
    <w:p>
      <w:pPr>
        <w:pStyle w:val="ListParagraph"/>
        <w:numPr>
          <w:ilvl w:val="0"/>
          <w:numId w:val="3"/>
        </w:numPr>
        <w:spacing w:after="60"/>
      </w:pPr>
      <w:r>
        <w:rPr>
          <w:rFonts w:ascii="Libre Franklin" w:cs="Libre Franklin" w:eastAsia="Libre Franklin" w:hAnsi="Libre Franklin"/>
          <w:color w:val="303A42"/>
          <w:sz w:val="22"/>
          <w:szCs w:val="22"/>
        </w:rPr>
        <w:t xml:space="preserve">Toggle life event campaigns on/off by event type</w:t>
      </w:r>
    </w:p>
    <w:p>
      <w:pPr>
        <w:pStyle w:val="ListParagraph"/>
        <w:numPr>
          <w:ilvl w:val="0"/>
          <w:numId w:val="3"/>
        </w:numPr>
        <w:spacing w:after="60"/>
      </w:pPr>
      <w:r>
        <w:rPr>
          <w:rFonts w:ascii="Libre Franklin" w:cs="Libre Franklin" w:eastAsia="Libre Franklin" w:hAnsi="Libre Franklin"/>
          <w:color w:val="303A42"/>
          <w:sz w:val="22"/>
          <w:szCs w:val="22"/>
        </w:rPr>
        <w:t xml:space="preserve">Adjust branded vs. non-branded SEM split</w:t>
      </w:r>
    </w:p>
    <w:p>
      <w:pPr>
        <w:spacing w:after="200"/>
      </w:pPr>
    </w:p>
    <w:p>
      <w:pPr>
        <w:pStyle w:val="Heading2"/>
      </w:pPr>
      <w:r>
        <w:t xml:space="preserve">3.5 Pacing &amp; burn rate tracker</w:t>
      </w:r>
    </w:p>
    <w:p>
      <w:pPr>
        <w:spacing w:after="120"/>
      </w:pPr>
      <w:r>
        <w:rPr>
          <w:rFonts w:ascii="Libre Franklin" w:cs="Libre Franklin" w:eastAsia="Libre Franklin" w:hAnsi="Libre Franklin"/>
          <w:color w:val="303A42"/>
          <w:sz w:val="22"/>
          <w:szCs w:val="22"/>
        </w:rPr>
        <w:t xml:space="preserve">For each budget category, a burn-rate chart showing actual spend vs. plan with projected end-of-period landing. If the trajectory exceeds or undershoots budget by more than 5%, Apex flags it and suggests reallocation. Brand media is tracked at the market-tier level; overlay spend at the campaign level.</w:t>
      </w:r>
    </w:p>
    <w:p>
      <w:pPr>
        <w:spacing w:after="200"/>
      </w:pPr>
    </w:p>
    <w:p>
      <w:r>
        <w:br w:type="page"/>
      </w:r>
    </w:p>
    <w:p>
      <w:pPr>
        <w:pStyle w:val="Heading1"/>
      </w:pPr>
      <w:r>
        <w:t xml:space="preserve">4. Module 3: Acquisition funnel</w:t>
      </w:r>
    </w:p>
    <w:p>
      <w:pPr>
        <w:spacing w:after="120"/>
      </w:pPr>
      <w:r>
        <w:rPr>
          <w:rFonts w:ascii="Libre Franklin" w:cs="Libre Franklin" w:eastAsia="Libre Franklin" w:hAnsi="Libre Franklin"/>
          <w:color w:val="303A42"/>
          <w:sz w:val="22"/>
          <w:szCs w:val="22"/>
        </w:rPr>
        <w:t xml:space="preserve">Visual representation of the entire acquisition journey from first impression to funded account. Each stage shows volume, conversion rate, cost metrics, and drop-off. Filterable by channel, market, product type, and time period.</w:t>
      </w:r>
    </w:p>
    <w:p>
      <w:pPr>
        <w:spacing w:after="200"/>
      </w:pPr>
    </w:p>
    <w:p>
      <w:pPr>
        <w:pStyle w:val="Heading2"/>
      </w:pPr>
      <w:r>
        <w:t xml:space="preserve">4.1 Six-stage funnel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W w:type="dxa" w:w="24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Stage</w:t>
            </w:r>
          </w:p>
        </w:tc>
        <w:tc>
          <w:tcPr>
            <w:tcW w:type="dxa" w:w="16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Industry Avg</w:t>
            </w:r>
          </w:p>
        </w:tc>
        <w:tc>
          <w:tcPr>
            <w:tcW w:type="dxa" w:w="16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Top Performer</w:t>
            </w:r>
          </w:p>
        </w:tc>
        <w:tc>
          <w:tcPr>
            <w:tcW w:type="dxa" w:w="376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Primary Data Source</w:t>
            </w:r>
          </w:p>
        </w:tc>
      </w:tr>
      <w:tr>
        <w:tc>
          <w:tcPr>
            <w:tcW w:type="dxa" w:w="24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Page Visit → App Start</w:t>
            </w:r>
          </w:p>
        </w:tc>
        <w:tc>
          <w:tcPr>
            <w:tcW w:type="dxa" w:w="16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55%</w:t>
            </w:r>
          </w:p>
        </w:tc>
        <w:tc>
          <w:tcPr>
            <w:tcW w:type="dxa" w:w="16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65%</w:t>
            </w:r>
          </w:p>
        </w:tc>
        <w:tc>
          <w:tcPr>
            <w:tcW w:type="dxa" w:w="37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Web Analytics + Landing Page Data</w:t>
            </w:r>
          </w:p>
        </w:tc>
      </w:tr>
      <w:tr>
        <w:tc>
          <w:tcPr>
            <w:tcW w:type="dxa" w:w="24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App Start → Form Complete</w:t>
            </w:r>
          </w:p>
        </w:tc>
        <w:tc>
          <w:tcPr>
            <w:tcW w:type="dxa" w:w="16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65%</w:t>
            </w:r>
          </w:p>
        </w:tc>
        <w:tc>
          <w:tcPr>
            <w:tcW w:type="dxa" w:w="16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75%</w:t>
            </w:r>
          </w:p>
        </w:tc>
        <w:tc>
          <w:tcPr>
            <w:tcW w:type="dxa" w:w="37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Web Analytics + CRM Events</w:t>
            </w:r>
          </w:p>
        </w:tc>
      </w:tr>
      <w:tr>
        <w:tc>
          <w:tcPr>
            <w:tcW w:type="dxa" w:w="24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Form Complete → KYC Pass</w:t>
            </w:r>
          </w:p>
        </w:tc>
        <w:tc>
          <w:tcPr>
            <w:tcW w:type="dxa" w:w="16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75%</w:t>
            </w:r>
          </w:p>
        </w:tc>
        <w:tc>
          <w:tcPr>
            <w:tcW w:type="dxa" w:w="16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85%</w:t>
            </w:r>
          </w:p>
        </w:tc>
        <w:tc>
          <w:tcPr>
            <w:tcW w:type="dxa" w:w="37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CRM + KYC/Identity System</w:t>
            </w:r>
          </w:p>
        </w:tc>
      </w:tr>
      <w:tr>
        <w:tc>
          <w:tcPr>
            <w:tcW w:type="dxa" w:w="24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KYC Pass → Approval</w:t>
            </w:r>
          </w:p>
        </w:tc>
        <w:tc>
          <w:tcPr>
            <w:tcW w:type="dxa" w:w="16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85%</w:t>
            </w:r>
          </w:p>
        </w:tc>
        <w:tc>
          <w:tcPr>
            <w:tcW w:type="dxa" w:w="16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90%</w:t>
            </w:r>
          </w:p>
        </w:tc>
        <w:tc>
          <w:tcPr>
            <w:tcW w:type="dxa" w:w="37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CRM + Underwriting</w:t>
            </w:r>
          </w:p>
        </w:tc>
      </w:tr>
      <w:tr>
        <w:tc>
          <w:tcPr>
            <w:tcW w:type="dxa" w:w="24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Approval → Funded</w:t>
            </w:r>
          </w:p>
        </w:tc>
        <w:tc>
          <w:tcPr>
            <w:tcW w:type="dxa" w:w="16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73%</w:t>
            </w:r>
          </w:p>
        </w:tc>
        <w:tc>
          <w:tcPr>
            <w:tcW w:type="dxa" w:w="16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87%</w:t>
            </w:r>
          </w:p>
        </w:tc>
        <w:tc>
          <w:tcPr>
            <w:tcW w:type="dxa" w:w="37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CRM + Funding Events</w:t>
            </w:r>
          </w:p>
        </w:tc>
      </w:tr>
      <w:tr>
        <w:tc>
          <w:tcPr>
            <w:tcW w:type="dxa" w:w="24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Funded → Active (90 days)</w:t>
            </w:r>
          </w:p>
        </w:tc>
        <w:tc>
          <w:tcPr>
            <w:tcW w:type="dxa" w:w="16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70%</w:t>
            </w:r>
          </w:p>
        </w:tc>
        <w:tc>
          <w:tcPr>
            <w:tcW w:type="dxa" w:w="16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85%</w:t>
            </w:r>
          </w:p>
        </w:tc>
        <w:tc>
          <w:tcPr>
            <w:tcW w:type="dxa" w:w="37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CRM + Behavioral Data Layer</w:t>
            </w:r>
          </w:p>
        </w:tc>
      </w:tr>
    </w:tbl>
    <w:p>
      <w:pPr>
        <w:spacing w:after="200"/>
      </w:pPr>
    </w:p>
    <w:p>
      <w:pPr>
        <w:pStyle w:val="Heading2"/>
      </w:pPr>
      <w:r>
        <w:t xml:space="preserve">4.2 Drop-off analysis</w:t>
      </w:r>
    </w:p>
    <w:p>
      <w:pPr>
        <w:spacing w:after="120"/>
      </w:pPr>
      <w:r>
        <w:rPr>
          <w:rFonts w:ascii="Libre Franklin" w:cs="Libre Franklin" w:eastAsia="Libre Franklin" w:hAnsi="Libre Franklin"/>
          <w:color w:val="303A42"/>
          <w:sz w:val="22"/>
          <w:szCs w:val="22"/>
        </w:rPr>
        <w:t xml:space="preserve">For each stage, Apex shows drop-off volume, segments by channel source, and estimates dollar impact (using configurable LTV per HH). This makes the cost of each friction point immediately visible.</w:t>
      </w:r>
    </w:p>
    <w:p>
      <w:pPr>
        <w:spacing w:after="200"/>
      </w:pPr>
    </w:p>
    <w:p>
      <w:pPr>
        <w:spacing w:after="120"/>
      </w:pPr>
      <w:r>
        <w:rPr>
          <w:rFonts w:ascii="Libre Franklin" w:cs="Libre Franklin" w:eastAsia="Libre Franklin" w:hAnsi="Libre Franklin"/>
          <w:b/>
          <w:bCs/>
          <w:color w:val="303A42"/>
          <w:sz w:val="22"/>
          <w:szCs w:val="22"/>
        </w:rPr>
        <w:t xml:space="preserve">Filter dimensions:</w:t>
      </w:r>
    </w:p>
    <w:p>
      <w:pPr>
        <w:pStyle w:val="ListParagraph"/>
        <w:numPr>
          <w:ilvl w:val="0"/>
          <w:numId w:val="3"/>
        </w:numPr>
        <w:spacing w:after="60"/>
      </w:pPr>
      <w:r>
        <w:rPr>
          <w:rFonts w:ascii="Libre Franklin" w:cs="Libre Franklin" w:eastAsia="Libre Franklin" w:hAnsi="Libre Franklin"/>
          <w:color w:val="303A42"/>
          <w:sz w:val="22"/>
          <w:szCs w:val="22"/>
        </w:rPr>
        <w:t xml:space="preserve">Channel source (SEM branded, SEM non-branded, paid social, CTV, organic, direct, referral)</w:t>
      </w:r>
    </w:p>
    <w:p>
      <w:pPr>
        <w:pStyle w:val="ListParagraph"/>
        <w:numPr>
          <w:ilvl w:val="0"/>
          <w:numId w:val="3"/>
        </w:numPr>
        <w:spacing w:after="60"/>
      </w:pPr>
      <w:r>
        <w:rPr>
          <w:rFonts w:ascii="Libre Franklin" w:cs="Libre Franklin" w:eastAsia="Libre Franklin" w:hAnsi="Libre Franklin"/>
          <w:color w:val="303A42"/>
          <w:sz w:val="22"/>
          <w:szCs w:val="22"/>
        </w:rPr>
        <w:t xml:space="preserve">Market tier</w:t>
      </w:r>
    </w:p>
    <w:p>
      <w:pPr>
        <w:pStyle w:val="ListParagraph"/>
        <w:numPr>
          <w:ilvl w:val="0"/>
          <w:numId w:val="3"/>
        </w:numPr>
        <w:spacing w:after="60"/>
      </w:pPr>
      <w:r>
        <w:rPr>
          <w:rFonts w:ascii="Libre Franklin" w:cs="Libre Franklin" w:eastAsia="Libre Franklin" w:hAnsi="Libre Franklin"/>
          <w:color w:val="303A42"/>
          <w:sz w:val="22"/>
          <w:szCs w:val="22"/>
        </w:rPr>
        <w:t xml:space="preserve">Product type (checking, savings, CD, credit card, mortgage, auto, personal loan)</w:t>
      </w:r>
    </w:p>
    <w:p>
      <w:pPr>
        <w:pStyle w:val="ListParagraph"/>
        <w:numPr>
          <w:ilvl w:val="0"/>
          <w:numId w:val="3"/>
        </w:numPr>
        <w:spacing w:after="60"/>
      </w:pPr>
      <w:r>
        <w:rPr>
          <w:rFonts w:ascii="Libre Franklin" w:cs="Libre Franklin" w:eastAsia="Libre Franklin" w:hAnsi="Libre Franklin"/>
          <w:color w:val="303A42"/>
          <w:sz w:val="22"/>
          <w:szCs w:val="22"/>
        </w:rPr>
        <w:t xml:space="preserve">Device (mobile, desktop, tablet)</w:t>
      </w:r>
    </w:p>
    <w:p>
      <w:pPr>
        <w:pStyle w:val="ListParagraph"/>
        <w:numPr>
          <w:ilvl w:val="0"/>
          <w:numId w:val="3"/>
        </w:numPr>
        <w:spacing w:after="60"/>
      </w:pPr>
      <w:r>
        <w:rPr>
          <w:rFonts w:ascii="Libre Franklin" w:cs="Libre Franklin" w:eastAsia="Libre Franklin" w:hAnsi="Libre Franklin"/>
          <w:color w:val="303A42"/>
          <w:sz w:val="22"/>
          <w:szCs w:val="22"/>
        </w:rPr>
        <w:t xml:space="preserve">Personalization segment</w:t>
      </w:r>
    </w:p>
    <w:p>
      <w:pPr>
        <w:pStyle w:val="ListParagraph"/>
        <w:numPr>
          <w:ilvl w:val="0"/>
          <w:numId w:val="3"/>
        </w:numPr>
        <w:spacing w:after="60"/>
      </w:pPr>
      <w:r>
        <w:rPr>
          <w:rFonts w:ascii="Libre Franklin" w:cs="Libre Franklin" w:eastAsia="Libre Franklin" w:hAnsi="Libre Franklin"/>
          <w:color w:val="303A42"/>
          <w:sz w:val="22"/>
          <w:szCs w:val="22"/>
        </w:rPr>
        <w:t xml:space="preserve">Time period (daily, weekly, monthly, custom)</w:t>
      </w:r>
    </w:p>
    <w:p>
      <w:pPr>
        <w:spacing w:after="200"/>
      </w:pPr>
    </w:p>
    <w:p>
      <w:pPr>
        <w:pStyle w:val="Heading2"/>
      </w:pPr>
      <w:r>
        <w:t xml:space="preserve">4.3 Abandonment recovery tracker</w:t>
      </w:r>
    </w:p>
    <w:p>
      <w:pPr>
        <w:spacing w:after="120"/>
      </w:pPr>
      <w:r>
        <w:rPr>
          <w:rFonts w:ascii="Libre Franklin" w:cs="Libre Franklin" w:eastAsia="Libre Franklin" w:hAnsi="Libre Franklin"/>
          <w:color w:val="303A42"/>
          <w:sz w:val="22"/>
          <w:szCs w:val="22"/>
        </w:rPr>
        <w:t xml:space="preserve">Monitors automated recovery sequences executed by Kamino: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2960"/>
      </w:tblGrid>
      <w:tr>
        <w:tc>
          <w:tcPr>
            <w:tcW w:type="dxa" w:w="18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Recovery Window</w:t>
            </w:r>
          </w:p>
        </w:tc>
        <w:tc>
          <w:tcPr>
            <w:tcW w:type="dxa" w:w="28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Channel</w:t>
            </w:r>
          </w:p>
        </w:tc>
        <w:tc>
          <w:tcPr>
            <w:tcW w:type="dxa" w:w="18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Expected Recovery</w:t>
            </w:r>
          </w:p>
        </w:tc>
        <w:tc>
          <w:tcPr>
            <w:tcW w:type="dxa" w:w="296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Managed By</w:t>
            </w:r>
          </w:p>
        </w:tc>
      </w:tr>
      <w:tr>
        <w:tc>
          <w:tcPr>
            <w:tcW w:type="dxa" w:w="1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0–2 hours</w:t>
            </w:r>
          </w:p>
        </w:tc>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Automated email with deep link</w:t>
            </w:r>
          </w:p>
        </w:tc>
        <w:tc>
          <w:tcPr>
            <w:tcW w:type="dxa" w:w="1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Highest</w:t>
            </w:r>
          </w:p>
        </w:tc>
        <w:tc>
          <w:tcPr>
            <w:tcW w:type="dxa" w:w="29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Kamino (auto)</w:t>
            </w:r>
          </w:p>
        </w:tc>
      </w:tr>
      <w:tr>
        <w:tc>
          <w:tcPr>
            <w:tcW w:type="dxa" w:w="1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2–24 hours</w:t>
            </w:r>
          </w:p>
        </w:tc>
        <w:tc>
          <w:tcPr>
            <w:tcW w:type="dxa" w:w="2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SMS reminder</w:t>
            </w:r>
          </w:p>
        </w:tc>
        <w:tc>
          <w:tcPr>
            <w:tcW w:type="dxa" w:w="1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Medium</w:t>
            </w:r>
          </w:p>
        </w:tc>
        <w:tc>
          <w:tcPr>
            <w:tcW w:type="dxa" w:w="29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Kamino (auto)</w:t>
            </w:r>
          </w:p>
        </w:tc>
      </w:tr>
      <w:tr>
        <w:tc>
          <w:tcPr>
            <w:tcW w:type="dxa" w:w="1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24–48 hours</w:t>
            </w:r>
          </w:p>
        </w:tc>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Phone (high-value) / second email</w:t>
            </w:r>
          </w:p>
        </w:tc>
        <w:tc>
          <w:tcPr>
            <w:tcW w:type="dxa" w:w="1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Medium</w:t>
            </w:r>
          </w:p>
        </w:tc>
        <w:tc>
          <w:tcPr>
            <w:tcW w:type="dxa" w:w="29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Kamino (auto + manual)</w:t>
            </w:r>
          </w:p>
        </w:tc>
      </w:tr>
      <w:tr>
        <w:tc>
          <w:tcPr>
            <w:tcW w:type="dxa" w:w="1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48–72 hours</w:t>
            </w:r>
          </w:p>
        </w:tc>
        <w:tc>
          <w:tcPr>
            <w:tcW w:type="dxa" w:w="2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Retargeting ads (dynamic creative)</w:t>
            </w:r>
          </w:p>
        </w:tc>
        <w:tc>
          <w:tcPr>
            <w:tcW w:type="dxa" w:w="1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Low–Medium</w:t>
            </w:r>
          </w:p>
        </w:tc>
        <w:tc>
          <w:tcPr>
            <w:tcW w:type="dxa" w:w="29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Kamino (auto)</w:t>
            </w:r>
          </w:p>
        </w:tc>
      </w:tr>
      <w:tr>
        <w:tc>
          <w:tcPr>
            <w:tcW w:type="dxa" w:w="1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7–14 days</w:t>
            </w:r>
          </w:p>
        </w:tc>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Final email with updated offer</w:t>
            </w:r>
          </w:p>
        </w:tc>
        <w:tc>
          <w:tcPr>
            <w:tcW w:type="dxa" w:w="1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Low</w:t>
            </w:r>
          </w:p>
        </w:tc>
        <w:tc>
          <w:tcPr>
            <w:tcW w:type="dxa" w:w="29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Kamino (auto)</w:t>
            </w:r>
          </w:p>
        </w:tc>
      </w:tr>
    </w:tbl>
    <w:p>
      <w:pPr>
        <w:spacing w:after="200"/>
      </w:pPr>
    </w:p>
    <w:p>
      <w:pPr>
        <w:pStyle w:val="Heading2"/>
      </w:pPr>
      <w:r>
        <w:t xml:space="preserve">4.4 Landing page performance</w:t>
      </w:r>
    </w:p>
    <w:p>
      <w:pPr>
        <w:spacing w:after="120"/>
      </w:pPr>
      <w:r>
        <w:rPr>
          <w:rFonts w:ascii="Libre Franklin" w:cs="Libre Franklin" w:eastAsia="Libre Franklin" w:hAnsi="Libre Franklin"/>
          <w:color w:val="303A42"/>
          <w:sz w:val="22"/>
          <w:szCs w:val="22"/>
        </w:rPr>
        <w:t xml:space="preserve">Tracks proven conversion levers: personalized CTAs (+202% benchmark), form field reduction (+120%), AI-powered personalization (+40%), page load speed, and trust signal presence. Each page variant is scored against these benchmarks; underperformers are flagged.</w:t>
      </w:r>
    </w:p>
    <w:p>
      <w:pPr>
        <w:spacing w:after="200"/>
      </w:pPr>
    </w:p>
    <w:p>
      <w:pPr>
        <w:pStyle w:val="Heading2"/>
      </w:pPr>
      <w:r>
        <w:t xml:space="preserve">4.5 Personalization monitor</w:t>
      </w:r>
    </w:p>
    <w:p>
      <w:pPr>
        <w:spacing w:after="120"/>
      </w:pPr>
      <w:r>
        <w:rPr>
          <w:rFonts w:ascii="Libre Franklin" w:cs="Libre Franklin" w:eastAsia="Libre Franklin" w:hAnsi="Libre Franklin"/>
          <w:color w:val="303A42"/>
          <w:sz w:val="22"/>
          <w:szCs w:val="22"/>
        </w:rPr>
        <w:t xml:space="preserve">Displays active persona segments, conversion rates relative to default experiences, and A/B/multivariate test velocity. Alerts if testing cadence drops below the established baseline.</w:t>
      </w:r>
    </w:p>
    <w:p>
      <w:pPr>
        <w:spacing w:after="200"/>
      </w:pPr>
    </w:p>
    <w:p>
      <w:r>
        <w:br w:type="page"/>
      </w:r>
    </w:p>
    <w:p>
      <w:pPr>
        <w:pStyle w:val="Heading1"/>
      </w:pPr>
      <w:r>
        <w:t xml:space="preserve">5. Module 4: Onboarding &amp; retention</w:t>
      </w:r>
    </w:p>
    <w:p>
      <w:pPr>
        <w:spacing w:after="120"/>
      </w:pPr>
      <w:r>
        <w:rPr>
          <w:rFonts w:ascii="Libre Franklin" w:cs="Libre Franklin" w:eastAsia="Libre Franklin" w:hAnsi="Libre Franklin"/>
          <w:color w:val="303A42"/>
          <w:sz w:val="22"/>
          <w:szCs w:val="22"/>
        </w:rPr>
        <w:t xml:space="preserve">Tracks every customer from funded account through PFI status, monitoring behavioral triggers and milestone completions that predict long-term retention. Directly addresses the retention gap that is the most common challenge in digital-first banking acquisition.</w:t>
      </w:r>
    </w:p>
    <w:p>
      <w:pPr>
        <w:spacing w:after="200"/>
      </w:pPr>
    </w:p>
    <w:p>
      <w:pPr>
        <w:pStyle w:val="Heading2"/>
      </w:pPr>
      <w:r>
        <w:t xml:space="preserve">5.1 PFI flywheel tracker</w:t>
      </w:r>
    </w:p>
    <w:p>
      <w:pPr>
        <w:spacing w:after="120"/>
      </w:pPr>
      <w:r>
        <w:rPr>
          <w:rFonts w:ascii="Libre Franklin" w:cs="Libre Franklin" w:eastAsia="Libre Franklin" w:hAnsi="Libre Franklin"/>
          <w:color w:val="303A42"/>
          <w:sz w:val="22"/>
          <w:szCs w:val="22"/>
        </w:rPr>
        <w:t xml:space="preserve">Visual flywheel showing six PFI milestones with real-time completion rates across the active onboarding cohort: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960"/>
      </w:tblGrid>
      <w:tr>
        <w:tc>
          <w:tcPr>
            <w:tcW w:type="dxa" w:w="24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Flywheel Step</w:t>
            </w:r>
          </w:p>
        </w:tc>
        <w:tc>
          <w:tcPr>
            <w:tcW w:type="dxa" w:w="18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Target Completion</w:t>
            </w:r>
          </w:p>
        </w:tc>
        <w:tc>
          <w:tcPr>
            <w:tcW w:type="dxa" w:w="22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Tracking Source</w:t>
            </w:r>
          </w:p>
        </w:tc>
        <w:tc>
          <w:tcPr>
            <w:tcW w:type="dxa" w:w="296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Switching Cost Impact</w:t>
            </w:r>
          </w:p>
        </w:tc>
      </w:tr>
      <w:tr>
        <w:tc>
          <w:tcPr>
            <w:tcW w:type="dxa" w:w="24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1. Direct Deposit</w:t>
            </w:r>
          </w:p>
        </w:tc>
        <w:tc>
          <w:tcPr>
            <w:tcW w:type="dxa" w:w="1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50% by Day 30</w:t>
            </w:r>
          </w:p>
        </w:tc>
        <w:tc>
          <w:tcPr>
            <w:tcW w:type="dxa" w:w="2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CRM + Behavioral Data</w:t>
            </w:r>
          </w:p>
        </w:tc>
        <w:tc>
          <w:tcPr>
            <w:tcW w:type="dxa" w:w="29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High — financial hub</w:t>
            </w:r>
          </w:p>
        </w:tc>
      </w:tr>
      <w:tr>
        <w:tc>
          <w:tcPr>
            <w:tcW w:type="dxa" w:w="24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2. Bill Pay</w:t>
            </w:r>
          </w:p>
        </w:tc>
        <w:tc>
          <w:tcPr>
            <w:tcW w:type="dxa" w:w="1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30% by Day 60</w:t>
            </w:r>
          </w:p>
        </w:tc>
        <w:tc>
          <w:tcPr>
            <w:tcW w:type="dxa" w:w="2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CRM</w:t>
            </w:r>
          </w:p>
        </w:tc>
        <w:tc>
          <w:tcPr>
            <w:tcW w:type="dxa" w:w="29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High — recurring outflows</w:t>
            </w:r>
          </w:p>
        </w:tc>
      </w:tr>
      <w:tr>
        <w:tc>
          <w:tcPr>
            <w:tcW w:type="dxa" w:w="24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3. Debit Card Usage</w:t>
            </w:r>
          </w:p>
        </w:tc>
        <w:tc>
          <w:tcPr>
            <w:tcW w:type="dxa" w:w="1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70% by Day 14</w:t>
            </w:r>
          </w:p>
        </w:tc>
        <w:tc>
          <w:tcPr>
            <w:tcW w:type="dxa" w:w="2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CRM + Transaction Data</w:t>
            </w:r>
          </w:p>
        </w:tc>
        <w:tc>
          <w:tcPr>
            <w:tcW w:type="dxa" w:w="29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Medium — interchange</w:t>
            </w:r>
          </w:p>
        </w:tc>
      </w:tr>
      <w:tr>
        <w:tc>
          <w:tcPr>
            <w:tcW w:type="dxa" w:w="24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4. Digital Wallet</w:t>
            </w:r>
          </w:p>
        </w:tc>
        <w:tc>
          <w:tcPr>
            <w:tcW w:type="dxa" w:w="1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25% by Day 30</w:t>
            </w:r>
          </w:p>
        </w:tc>
        <w:tc>
          <w:tcPr>
            <w:tcW w:type="dxa" w:w="2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Mobile Events + Behavioral Data</w:t>
            </w:r>
          </w:p>
        </w:tc>
        <w:tc>
          <w:tcPr>
            <w:tcW w:type="dxa" w:w="29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High — daily dependency</w:t>
            </w:r>
          </w:p>
        </w:tc>
      </w:tr>
      <w:tr>
        <w:tc>
          <w:tcPr>
            <w:tcW w:type="dxa" w:w="24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5. P2P Payments</w:t>
            </w:r>
          </w:p>
        </w:tc>
        <w:tc>
          <w:tcPr>
            <w:tcW w:type="dxa" w:w="1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20% by Day 60</w:t>
            </w:r>
          </w:p>
        </w:tc>
        <w:tc>
          <w:tcPr>
            <w:tcW w:type="dxa" w:w="2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CRM</w:t>
            </w:r>
          </w:p>
        </w:tc>
        <w:tc>
          <w:tcPr>
            <w:tcW w:type="dxa" w:w="29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Medium — social lock-in</w:t>
            </w:r>
          </w:p>
        </w:tc>
      </w:tr>
      <w:tr>
        <w:tc>
          <w:tcPr>
            <w:tcW w:type="dxa" w:w="24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6. Cross-sell Acceptance</w:t>
            </w:r>
          </w:p>
        </w:tc>
        <w:tc>
          <w:tcPr>
            <w:tcW w:type="dxa" w:w="1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25% by Day 90</w:t>
            </w:r>
          </w:p>
        </w:tc>
        <w:tc>
          <w:tcPr>
            <w:tcW w:type="dxa" w:w="2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CRM + Offer Engine</w:t>
            </w:r>
          </w:p>
        </w:tc>
        <w:tc>
          <w:tcPr>
            <w:tcW w:type="dxa" w:w="29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High — deepening</w:t>
            </w:r>
          </w:p>
        </w:tc>
      </w:tr>
    </w:tbl>
    <w:p>
      <w:pPr>
        <w:spacing w:after="200"/>
      </w:pPr>
    </w:p>
    <w:p>
      <w:pPr>
        <w:pStyle w:val="Heading2"/>
      </w:pPr>
      <w:r>
        <w:t xml:space="preserve">5.2 90-day milestone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400"/>
        <w:gridCol w:w="4160"/>
      </w:tblGrid>
      <w:tr>
        <w:tc>
          <w:tcPr>
            <w:tcW w:type="dxa" w:w="26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Milestone</w:t>
            </w:r>
          </w:p>
        </w:tc>
        <w:tc>
          <w:tcPr>
            <w:tcW w:type="dxa" w:w="12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Target</w:t>
            </w:r>
          </w:p>
        </w:tc>
        <w:tc>
          <w:tcPr>
            <w:tcW w:type="dxa" w:w="14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Alert If Below</w:t>
            </w:r>
          </w:p>
        </w:tc>
        <w:tc>
          <w:tcPr>
            <w:tcW w:type="dxa" w:w="416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Intervention (via Kamino)</w:t>
            </w:r>
          </w:p>
        </w:tc>
      </w:tr>
      <w:tr>
        <w:tc>
          <w:tcPr>
            <w:tcW w:type="dxa" w:w="26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Day 7: Funded account rate</w:t>
            </w:r>
          </w:p>
        </w:tc>
        <w:tc>
          <w:tcPr>
            <w:tcW w:type="dxa" w:w="1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80%+</w:t>
            </w:r>
          </w:p>
        </w:tc>
        <w:tc>
          <w:tcPr>
            <w:tcW w:type="dxa" w:w="14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75%</w:t>
            </w:r>
          </w:p>
        </w:tc>
        <w:tc>
          <w:tcPr>
            <w:tcW w:type="dxa" w:w="41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Push notification + banker email</w:t>
            </w:r>
          </w:p>
        </w:tc>
      </w:tr>
      <w:tr>
        <w:tc>
          <w:tcPr>
            <w:tcW w:type="dxa" w:w="26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Day 30: Direct deposit enrolled</w:t>
            </w:r>
          </w:p>
        </w:tc>
        <w:tc>
          <w:tcPr>
            <w:tcW w:type="dxa" w:w="1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50%+</w:t>
            </w:r>
          </w:p>
        </w:tc>
        <w:tc>
          <w:tcPr>
            <w:tcW w:type="dxa" w:w="14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45%</w:t>
            </w:r>
          </w:p>
        </w:tc>
        <w:tc>
          <w:tcPr>
            <w:tcW w:type="dxa" w:w="41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Guided switching prompt</w:t>
            </w:r>
          </w:p>
        </w:tc>
      </w:tr>
      <w:tr>
        <w:tc>
          <w:tcPr>
            <w:tcW w:type="dxa" w:w="26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Day 90: Second product attached</w:t>
            </w:r>
          </w:p>
        </w:tc>
        <w:tc>
          <w:tcPr>
            <w:tcW w:type="dxa" w:w="1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25%+</w:t>
            </w:r>
          </w:p>
        </w:tc>
        <w:tc>
          <w:tcPr>
            <w:tcW w:type="dxa" w:w="14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20%</w:t>
            </w:r>
          </w:p>
        </w:tc>
        <w:tc>
          <w:tcPr>
            <w:tcW w:type="dxa" w:w="41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Cross-sell offer via offer engine</w:t>
            </w:r>
          </w:p>
        </w:tc>
      </w:tr>
      <w:tr>
        <w:tc>
          <w:tcPr>
            <w:tcW w:type="dxa" w:w="26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Day 90: Retention rate</w:t>
            </w:r>
          </w:p>
        </w:tc>
        <w:tc>
          <w:tcPr>
            <w:tcW w:type="dxa" w:w="1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90%+</w:t>
            </w:r>
          </w:p>
        </w:tc>
        <w:tc>
          <w:tcPr>
            <w:tcW w:type="dxa" w:w="14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85%</w:t>
            </w:r>
          </w:p>
        </w:tc>
        <w:tc>
          <w:tcPr>
            <w:tcW w:type="dxa" w:w="41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At-risk escalation to retention team</w:t>
            </w:r>
          </w:p>
        </w:tc>
      </w:tr>
    </w:tbl>
    <w:p>
      <w:pPr>
        <w:spacing w:after="200"/>
      </w:pPr>
    </w:p>
    <w:p>
      <w:pPr>
        <w:pStyle w:val="Heading2"/>
      </w:pPr>
      <w:r>
        <w:t xml:space="preserve">5.3 Behavioral trigger monitor</w:t>
      </w:r>
    </w:p>
    <w:p>
      <w:pPr>
        <w:spacing w:after="120"/>
      </w:pPr>
      <w:r>
        <w:rPr>
          <w:rFonts w:ascii="Libre Franklin" w:cs="Libre Franklin" w:eastAsia="Libre Franklin" w:hAnsi="Libre Franklin"/>
          <w:color w:val="303A42"/>
          <w:sz w:val="22"/>
          <w:szCs w:val="22"/>
        </w:rPr>
        <w:t xml:space="preserve">Volume and conversion rate of each automated behavioral trigger managed by Kamino: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Trigger Condition</w:t>
            </w:r>
          </w:p>
        </w:tc>
        <w:tc>
          <w:tcPr>
            <w:tcW w:type="dxa" w:w="32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Kamino Action</w:t>
            </w:r>
          </w:p>
        </w:tc>
        <w:tc>
          <w:tcPr>
            <w:tcW w:type="dxa" w:w="296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Metric</w:t>
            </w:r>
          </w:p>
        </w:tc>
      </w:tr>
      <w:tr>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No transaction within 7 days</w:t>
            </w:r>
          </w:p>
        </w:tc>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Quick-start email</w:t>
            </w:r>
          </w:p>
        </w:tc>
        <w:tc>
          <w:tcPr>
            <w:tcW w:type="dxa" w:w="29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Volume / week + CVR</w:t>
            </w:r>
          </w:p>
        </w:tc>
      </w:tr>
      <w:tr>
        <w:tc>
          <w:tcPr>
            <w:tcW w:type="dxa" w:w="3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No app download within 7 days</w:t>
            </w:r>
          </w:p>
        </w:tc>
        <w:tc>
          <w:tcPr>
            <w:tcW w:type="dxa" w:w="3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SMS with download link</w:t>
            </w:r>
          </w:p>
        </w:tc>
        <w:tc>
          <w:tcPr>
            <w:tcW w:type="dxa" w:w="29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Volume / week + CVR</w:t>
            </w:r>
          </w:p>
        </w:tc>
      </w:tr>
      <w:tr>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No direct deposit after 14 days</w:t>
            </w:r>
          </w:p>
        </w:tc>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Guided switching prompt</w:t>
            </w:r>
          </w:p>
        </w:tc>
        <w:tc>
          <w:tcPr>
            <w:tcW w:type="dxa" w:w="29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Volume / week + CVR</w:t>
            </w:r>
          </w:p>
        </w:tc>
      </w:tr>
      <w:tr>
        <w:tc>
          <w:tcPr>
            <w:tcW w:type="dxa" w:w="3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Large deposit received</w:t>
            </w:r>
          </w:p>
        </w:tc>
        <w:tc>
          <w:tcPr>
            <w:tcW w:type="dxa" w:w="3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CD rate comparison in-app</w:t>
            </w:r>
          </w:p>
        </w:tc>
        <w:tc>
          <w:tcPr>
            <w:tcW w:type="dxa" w:w="29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Volume / week + CVR</w:t>
            </w:r>
          </w:p>
        </w:tc>
      </w:tr>
      <w:tr>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Rent payment &gt; $2K/month</w:t>
            </w:r>
          </w:p>
        </w:tc>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Mortgage pre-qual offer</w:t>
            </w:r>
          </w:p>
        </w:tc>
        <w:tc>
          <w:tcPr>
            <w:tcW w:type="dxa" w:w="29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Volume / week + CVR</w:t>
            </w:r>
          </w:p>
        </w:tc>
      </w:tr>
      <w:tr>
        <w:tc>
          <w:tcPr>
            <w:tcW w:type="dxa" w:w="3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Account unfunded after 7 days</w:t>
            </w:r>
          </w:p>
        </w:tc>
        <w:tc>
          <w:tcPr>
            <w:tcW w:type="dxa" w:w="3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Push notification + banker email</w:t>
            </w:r>
          </w:p>
        </w:tc>
        <w:tc>
          <w:tcPr>
            <w:tcW w:type="dxa" w:w="29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Volume / week + CVR</w:t>
            </w:r>
          </w:p>
        </w:tc>
      </w:tr>
    </w:tbl>
    <w:p>
      <w:pPr>
        <w:spacing w:after="200"/>
      </w:pPr>
    </w:p>
    <w:p>
      <w:pPr>
        <w:pStyle w:val="Heading2"/>
      </w:pPr>
      <w:r>
        <w:t xml:space="preserve">5.4 Retention cohort analysis</w:t>
      </w:r>
    </w:p>
    <w:p>
      <w:pPr>
        <w:spacing w:after="120"/>
      </w:pPr>
      <w:r>
        <w:rPr>
          <w:rFonts w:ascii="Libre Franklin" w:cs="Libre Franklin" w:eastAsia="Libre Franklin" w:hAnsi="Libre Franklin"/>
          <w:color w:val="303A42"/>
          <w:sz w:val="22"/>
          <w:szCs w:val="22"/>
        </w:rPr>
        <w:t xml:space="preserve">Tracks MOB6 and MOB12 retention by acquisition cohort, channel source, market, and account quality score. Segments by the root causes that typically drive retention gaps: channel mix shift, fraud closures, and offer fulfillment shortfalls.</w:t>
      </w:r>
    </w:p>
    <w:p>
      <w:pPr>
        <w:spacing w:after="200"/>
      </w:pPr>
    </w:p>
    <w:p>
      <w:pPr>
        <w:spacing w:after="120"/>
      </w:pPr>
      <w:r>
        <w:rPr>
          <w:rFonts w:ascii="Libre Franklin" w:cs="Libre Franklin" w:eastAsia="Libre Franklin" w:hAnsi="Libre Franklin"/>
          <w:b/>
          <w:bCs/>
          <w:color w:val="303A42"/>
          <w:sz w:val="22"/>
          <w:szCs w:val="22"/>
        </w:rPr>
        <w:t xml:space="preserve">Filter dimensions:</w:t>
      </w:r>
    </w:p>
    <w:p>
      <w:pPr>
        <w:pStyle w:val="ListParagraph"/>
        <w:numPr>
          <w:ilvl w:val="0"/>
          <w:numId w:val="3"/>
        </w:numPr>
        <w:spacing w:after="60"/>
      </w:pPr>
      <w:r>
        <w:rPr>
          <w:rFonts w:ascii="Libre Franklin" w:cs="Libre Franklin" w:eastAsia="Libre Franklin" w:hAnsi="Libre Franklin"/>
          <w:color w:val="303A42"/>
          <w:sz w:val="22"/>
          <w:szCs w:val="22"/>
        </w:rPr>
        <w:t xml:space="preserve">Acquisition channel (online vs. branch vs. referral)</w:t>
      </w:r>
    </w:p>
    <w:p>
      <w:pPr>
        <w:pStyle w:val="ListParagraph"/>
        <w:numPr>
          <w:ilvl w:val="0"/>
          <w:numId w:val="3"/>
        </w:numPr>
        <w:spacing w:after="60"/>
      </w:pPr>
      <w:r>
        <w:rPr>
          <w:rFonts w:ascii="Libre Franklin" w:cs="Libre Franklin" w:eastAsia="Libre Franklin" w:hAnsi="Libre Franklin"/>
          <w:color w:val="303A42"/>
          <w:sz w:val="22"/>
          <w:szCs w:val="22"/>
        </w:rPr>
        <w:t xml:space="preserve">Account quality score band (high / medium / low)</w:t>
      </w:r>
    </w:p>
    <w:p>
      <w:pPr>
        <w:pStyle w:val="ListParagraph"/>
        <w:numPr>
          <w:ilvl w:val="0"/>
          <w:numId w:val="3"/>
        </w:numPr>
        <w:spacing w:after="60"/>
      </w:pPr>
      <w:r>
        <w:rPr>
          <w:rFonts w:ascii="Libre Franklin" w:cs="Libre Franklin" w:eastAsia="Libre Franklin" w:hAnsi="Libre Franklin"/>
          <w:color w:val="303A42"/>
          <w:sz w:val="22"/>
          <w:szCs w:val="22"/>
        </w:rPr>
        <w:t xml:space="preserve">Market and geo-cohort</w:t>
      </w:r>
    </w:p>
    <w:p>
      <w:pPr>
        <w:pStyle w:val="ListParagraph"/>
        <w:numPr>
          <w:ilvl w:val="0"/>
          <w:numId w:val="3"/>
        </w:numPr>
        <w:spacing w:after="60"/>
      </w:pPr>
      <w:r>
        <w:rPr>
          <w:rFonts w:ascii="Libre Franklin" w:cs="Libre Franklin" w:eastAsia="Libre Franklin" w:hAnsi="Libre Franklin"/>
          <w:color w:val="303A42"/>
          <w:sz w:val="22"/>
          <w:szCs w:val="22"/>
        </w:rPr>
        <w:t xml:space="preserve">Offer type (cash bonus, stacked offer, no offer)</w:t>
      </w:r>
    </w:p>
    <w:p>
      <w:pPr>
        <w:pStyle w:val="ListParagraph"/>
        <w:numPr>
          <w:ilvl w:val="0"/>
          <w:numId w:val="3"/>
        </w:numPr>
        <w:spacing w:after="60"/>
      </w:pPr>
      <w:r>
        <w:rPr>
          <w:rFonts w:ascii="Libre Franklin" w:cs="Libre Franklin" w:eastAsia="Libre Franklin" w:hAnsi="Libre Franklin"/>
          <w:color w:val="303A42"/>
          <w:sz w:val="22"/>
          <w:szCs w:val="22"/>
        </w:rPr>
        <w:t xml:space="preserve">Product mix at acquisition</w:t>
      </w:r>
    </w:p>
    <w:p>
      <w:pPr>
        <w:spacing w:after="200"/>
      </w:pPr>
    </w:p>
    <w:p>
      <w:pPr>
        <w:pStyle w:val="Heading2"/>
      </w:pPr>
      <w:r>
        <w:t xml:space="preserve">5.5 Offer engine performance</w:t>
      </w:r>
    </w:p>
    <w:p>
      <w:pPr>
        <w:spacing w:after="120"/>
      </w:pPr>
      <w:r>
        <w:rPr>
          <w:rFonts w:ascii="Libre Franklin" w:cs="Libre Franklin" w:eastAsia="Libre Franklin" w:hAnsi="Libre Franklin"/>
          <w:color w:val="303A42"/>
          <w:sz w:val="22"/>
          <w:szCs w:val="22"/>
        </w:rPr>
        <w:t xml:space="preserve">Tracks offer eligibility rates, stacked offer activation, fulfillment/completion tracking, and impact on Day 30 and Day 90 milestones. Connects to whichever offer management system the client uses (Salesforce Offers, Pega, custom engine).</w:t>
      </w:r>
    </w:p>
    <w:p>
      <w:pPr>
        <w:spacing w:after="200"/>
      </w:pPr>
    </w:p>
    <w:p>
      <w:pPr>
        <w:pStyle w:val="Heading2"/>
      </w:pPr>
      <w:r>
        <w:t xml:space="preserve">5.6 Geo-retention heat map</w:t>
      </w:r>
    </w:p>
    <w:p>
      <w:pPr>
        <w:spacing w:after="120"/>
      </w:pPr>
      <w:r>
        <w:rPr>
          <w:rFonts w:ascii="Libre Franklin" w:cs="Libre Franklin" w:eastAsia="Libre Franklin" w:hAnsi="Libre Franklin"/>
          <w:color w:val="303A42"/>
          <w:sz w:val="22"/>
          <w:szCs w:val="22"/>
        </w:rPr>
        <w:t xml:space="preserve">Map visualization of 90-day retention rates by market geography, colored red (lowest) to green (highest). Overlays the market-tier strategy and shows whether each market is receiving its prescribed offer/communication strategy.</w:t>
      </w:r>
    </w:p>
    <w:p>
      <w:pPr>
        <w:spacing w:after="200"/>
      </w:pPr>
    </w:p>
    <w:p>
      <w:r>
        <w:br w:type="page"/>
      </w:r>
    </w:p>
    <w:p>
      <w:pPr>
        <w:pStyle w:val="Heading1"/>
      </w:pPr>
      <w:r>
        <w:t xml:space="preserve">6. Module 5: Paid channel performance</w:t>
      </w:r>
    </w:p>
    <w:p>
      <w:pPr>
        <w:spacing w:after="120"/>
      </w:pPr>
      <w:r>
        <w:rPr>
          <w:rFonts w:ascii="Libre Franklin" w:cs="Libre Franklin" w:eastAsia="Libre Franklin" w:hAnsi="Libre Franklin"/>
          <w:color w:val="303A42"/>
          <w:sz w:val="22"/>
          <w:szCs w:val="22"/>
        </w:rPr>
        <w:t xml:space="preserve">Detailed performance monitoring for all paid media channels. Channel managers get depth; the CMO view stays focused on efficiency and allocation signals.</w:t>
      </w:r>
    </w:p>
    <w:p>
      <w:pPr>
        <w:spacing w:after="200"/>
      </w:pPr>
    </w:p>
    <w:p>
      <w:pPr>
        <w:pStyle w:val="Heading2"/>
      </w:pPr>
      <w:r>
        <w:t xml:space="preserve">6.1 Paid search (SEM)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Metric</w:t>
            </w:r>
          </w:p>
        </w:tc>
        <w:tc>
          <w:tcPr>
            <w:tcW w:type="dxa" w:w="32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Industry Benchmark</w:t>
            </w:r>
          </w:p>
        </w:tc>
        <w:tc>
          <w:tcPr>
            <w:tcW w:type="dxa" w:w="296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Alert Threshold</w:t>
            </w:r>
          </w:p>
        </w:tc>
      </w:tr>
      <w:tr>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Average CPC</w:t>
            </w:r>
          </w:p>
        </w:tc>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$3.46 (branded $0.50–$2.00)</w:t>
            </w:r>
          </w:p>
        </w:tc>
        <w:tc>
          <w:tcPr>
            <w:tcW w:type="dxa" w:w="29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CPC &gt; $5.00 non-branded</w:t>
            </w:r>
          </w:p>
        </w:tc>
      </w:tr>
      <w:tr>
        <w:tc>
          <w:tcPr>
            <w:tcW w:type="dxa" w:w="3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CTR</w:t>
            </w:r>
          </w:p>
        </w:tc>
        <w:tc>
          <w:tcPr>
            <w:tcW w:type="dxa" w:w="3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8.3%</w:t>
            </w:r>
          </w:p>
        </w:tc>
        <w:tc>
          <w:tcPr>
            <w:tcW w:type="dxa" w:w="29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&lt; 6%</w:t>
            </w:r>
          </w:p>
        </w:tc>
      </w:tr>
      <w:tr>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CVR</w:t>
            </w:r>
          </w:p>
        </w:tc>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2.55%</w:t>
            </w:r>
          </w:p>
        </w:tc>
        <w:tc>
          <w:tcPr>
            <w:tcW w:type="dxa" w:w="29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&lt; 2.0%</w:t>
            </w:r>
          </w:p>
        </w:tc>
      </w:tr>
      <w:tr>
        <w:tc>
          <w:tcPr>
            <w:tcW w:type="dxa" w:w="3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CPL</w:t>
            </w:r>
          </w:p>
        </w:tc>
        <w:tc>
          <w:tcPr>
            <w:tcW w:type="dxa" w:w="3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$83.93</w:t>
            </w:r>
          </w:p>
        </w:tc>
        <w:tc>
          <w:tcPr>
            <w:tcW w:type="dxa" w:w="29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&gt; $100</w:t>
            </w:r>
          </w:p>
        </w:tc>
      </w:tr>
      <w:tr>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Quality Score (avg)</w:t>
            </w:r>
          </w:p>
        </w:tc>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Target: 7+</w:t>
            </w:r>
          </w:p>
        </w:tc>
        <w:tc>
          <w:tcPr>
            <w:tcW w:type="dxa" w:w="29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&lt; 5 on high-volume keywords</w:t>
            </w:r>
          </w:p>
        </w:tc>
      </w:tr>
      <w:tr>
        <w:tc>
          <w:tcPr>
            <w:tcW w:type="dxa" w:w="3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Impression Share (branded)</w:t>
            </w:r>
          </w:p>
        </w:tc>
        <w:tc>
          <w:tcPr>
            <w:tcW w:type="dxa" w:w="3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90%+ target</w:t>
            </w:r>
          </w:p>
        </w:tc>
        <w:tc>
          <w:tcPr>
            <w:tcW w:type="dxa" w:w="29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&lt; 85%</w:t>
            </w:r>
          </w:p>
        </w:tc>
      </w:tr>
      <w:tr>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Value-based bidding margin signal</w:t>
            </w:r>
          </w:p>
        </w:tc>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Positive trend</w:t>
            </w:r>
          </w:p>
        </w:tc>
        <w:tc>
          <w:tcPr>
            <w:tcW w:type="dxa" w:w="29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Margin signal degradation</w:t>
            </w:r>
          </w:p>
        </w:tc>
      </w:tr>
    </w:tbl>
    <w:p>
      <w:pPr>
        <w:spacing w:after="200"/>
      </w:pPr>
    </w:p>
    <w:p>
      <w:pPr>
        <w:spacing w:after="120"/>
      </w:pPr>
      <w:r>
        <w:rPr>
          <w:rFonts w:ascii="Libre Franklin" w:cs="Libre Franklin" w:eastAsia="Libre Franklin" w:hAnsi="Libre Franklin"/>
          <w:b/>
          <w:bCs/>
          <w:color w:val="303A42"/>
          <w:sz w:val="22"/>
          <w:szCs w:val="22"/>
        </w:rPr>
        <w:t xml:space="preserve">SEM sub-views:</w:t>
      </w:r>
    </w:p>
    <w:p>
      <w:pPr>
        <w:pStyle w:val="ListParagraph"/>
        <w:numPr>
          <w:ilvl w:val="0"/>
          <w:numId w:val="3"/>
        </w:numPr>
        <w:spacing w:after="60"/>
      </w:pPr>
      <w:r>
        <w:rPr>
          <w:rFonts w:ascii="Libre Franklin" w:cs="Libre Franklin" w:eastAsia="Libre Franklin" w:hAnsi="Libre Franklin"/>
          <w:color w:val="303A42"/>
          <w:sz w:val="22"/>
          <w:szCs w:val="22"/>
        </w:rPr>
        <w:t xml:space="preserve">Market segmentation (established vs. growth vs. new)</w:t>
      </w:r>
    </w:p>
    <w:p>
      <w:pPr>
        <w:pStyle w:val="ListParagraph"/>
        <w:numPr>
          <w:ilvl w:val="0"/>
          <w:numId w:val="3"/>
        </w:numPr>
        <w:spacing w:after="60"/>
      </w:pPr>
      <w:r>
        <w:rPr>
          <w:rFonts w:ascii="Libre Franklin" w:cs="Libre Franklin" w:eastAsia="Libre Franklin" w:hAnsi="Libre Franklin"/>
          <w:color w:val="303A42"/>
          <w:sz w:val="22"/>
          <w:szCs w:val="22"/>
        </w:rPr>
        <w:t xml:space="preserve">Match type allocation (broad / exact / phrase)</w:t>
      </w:r>
    </w:p>
    <w:p>
      <w:pPr>
        <w:pStyle w:val="ListParagraph"/>
        <w:numPr>
          <w:ilvl w:val="0"/>
          <w:numId w:val="3"/>
        </w:numPr>
        <w:spacing w:after="60"/>
      </w:pPr>
      <w:r>
        <w:rPr>
          <w:rFonts w:ascii="Libre Franklin" w:cs="Libre Franklin" w:eastAsia="Libre Franklin" w:hAnsi="Libre Franklin"/>
          <w:color w:val="303A42"/>
          <w:sz w:val="22"/>
          <w:szCs w:val="22"/>
        </w:rPr>
        <w:t xml:space="preserve">AI-powered campaign performance vs. standard</w:t>
      </w:r>
    </w:p>
    <w:p>
      <w:pPr>
        <w:pStyle w:val="ListParagraph"/>
        <w:numPr>
          <w:ilvl w:val="0"/>
          <w:numId w:val="3"/>
        </w:numPr>
        <w:spacing w:after="60"/>
      </w:pPr>
      <w:r>
        <w:rPr>
          <w:rFonts w:ascii="Libre Franklin" w:cs="Libre Franklin" w:eastAsia="Libre Franklin" w:hAnsi="Libre Franklin"/>
          <w:color w:val="303A42"/>
          <w:sz w:val="22"/>
          <w:szCs w:val="22"/>
        </w:rPr>
        <w:t xml:space="preserve">Negative keyword hygiene score</w:t>
      </w:r>
    </w:p>
    <w:p>
      <w:pPr>
        <w:spacing w:after="200"/>
      </w:pPr>
    </w:p>
    <w:p>
      <w:pPr>
        <w:pStyle w:val="Heading2"/>
      </w:pPr>
      <w:r>
        <w:t xml:space="preserve">6.2 Paid social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Metric</w:t>
            </w:r>
          </w:p>
        </w:tc>
        <w:tc>
          <w:tcPr>
            <w:tcW w:type="dxa" w:w="32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Benchmark</w:t>
            </w:r>
          </w:p>
        </w:tc>
        <w:tc>
          <w:tcPr>
            <w:tcW w:type="dxa" w:w="296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Alert</w:t>
            </w:r>
          </w:p>
        </w:tc>
      </w:tr>
      <w:tr>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CPL (native lead forms)</w:t>
            </w:r>
          </w:p>
        </w:tc>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Below SEM CPL</w:t>
            </w:r>
          </w:p>
        </w:tc>
        <w:tc>
          <w:tcPr>
            <w:tcW w:type="dxa" w:w="29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CPL &gt; SEM CPL</w:t>
            </w:r>
          </w:p>
        </w:tc>
      </w:tr>
      <w:tr>
        <w:tc>
          <w:tcPr>
            <w:tcW w:type="dxa" w:w="3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Native Lead Form CVR</w:t>
            </w:r>
          </w:p>
        </w:tc>
        <w:tc>
          <w:tcPr>
            <w:tcW w:type="dxa" w:w="3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13%</w:t>
            </w:r>
          </w:p>
        </w:tc>
        <w:tc>
          <w:tcPr>
            <w:tcW w:type="dxa" w:w="29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&lt; 10%</w:t>
            </w:r>
          </w:p>
        </w:tc>
      </w:tr>
      <w:tr>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Landing Page CVR</w:t>
            </w:r>
          </w:p>
        </w:tc>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4.02%</w:t>
            </w:r>
          </w:p>
        </w:tc>
        <w:tc>
          <w:tcPr>
            <w:tcW w:type="dxa" w:w="29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&lt; 3%</w:t>
            </w:r>
          </w:p>
        </w:tc>
      </w:tr>
      <w:tr>
        <w:tc>
          <w:tcPr>
            <w:tcW w:type="dxa" w:w="3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AI-optimized campaign CPA</w:t>
            </w:r>
          </w:p>
        </w:tc>
        <w:tc>
          <w:tcPr>
            <w:tcW w:type="dxa" w:w="3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10% below manual</w:t>
            </w:r>
          </w:p>
        </w:tc>
        <w:tc>
          <w:tcPr>
            <w:tcW w:type="dxa" w:w="29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AI &gt; manual CPA</w:t>
            </w:r>
          </w:p>
        </w:tc>
      </w:tr>
      <w:tr>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First-party audience count</w:t>
            </w:r>
          </w:p>
        </w:tc>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15+ active</w:t>
            </w:r>
          </w:p>
        </w:tc>
        <w:tc>
          <w:tcPr>
            <w:tcW w:type="dxa" w:w="29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&lt; 12 active</w:t>
            </w:r>
          </w:p>
        </w:tc>
      </w:tr>
    </w:tbl>
    <w:p>
      <w:pPr>
        <w:spacing w:after="200"/>
      </w:pPr>
    </w:p>
    <w:p>
      <w:pPr>
        <w:pStyle w:val="Heading2"/>
      </w:pPr>
      <w:r>
        <w:t xml:space="preserve">6.3 Brand media dashboard</w:t>
      </w:r>
    </w:p>
    <w:p>
      <w:pPr>
        <w:spacing w:after="120"/>
      </w:pPr>
      <w:r>
        <w:rPr>
          <w:rFonts w:ascii="Libre Franklin" w:cs="Libre Franklin" w:eastAsia="Libre Franklin" w:hAnsi="Libre Franklin"/>
          <w:b/>
          <w:bCs/>
          <w:color w:val="303A42"/>
          <w:sz w:val="22"/>
          <w:szCs w:val="22"/>
        </w:rPr>
        <w:t xml:space="preserve">Brand Effectiveness Index (BEI):</w:t>
      </w:r>
    </w:p>
    <w:p>
      <w:pPr>
        <w:spacing w:after="120"/>
      </w:pPr>
      <w:r>
        <w:rPr>
          <w:rFonts w:ascii="Libre Franklin" w:cs="Libre Franklin" w:eastAsia="Libre Franklin" w:hAnsi="Libre Franklin"/>
          <w:color w:val="303A42"/>
          <w:sz w:val="22"/>
          <w:szCs w:val="22"/>
        </w:rPr>
        <w:t xml:space="preserve">BEI = (0.25 × Awareness) + (0.25 × Branded Search) + (0.20 × Direct Traffic) + (0.20 × Branch Visits) + (0.10 × Social Engagement)</w:t>
      </w:r>
    </w:p>
    <w:p>
      <w:pPr>
        <w:spacing w:after="200"/>
      </w:pPr>
    </w:p>
    <w:p>
      <w:pPr>
        <w:pStyle w:val="ListParagraph"/>
        <w:numPr>
          <w:ilvl w:val="0"/>
          <w:numId w:val="3"/>
        </w:numPr>
        <w:spacing w:after="60"/>
      </w:pPr>
      <w:r>
        <w:rPr>
          <w:rFonts w:ascii="Libre Franklin" w:cs="Libre Franklin" w:eastAsia="Libre Franklin" w:hAnsi="Libre Franklin"/>
          <w:color w:val="303A42"/>
          <w:sz w:val="22"/>
          <w:szCs w:val="22"/>
        </w:rPr>
        <w:t xml:space="preserve">BEI score by market tier (aggregate and individual)</w:t>
      </w:r>
    </w:p>
    <w:p>
      <w:pPr>
        <w:pStyle w:val="ListParagraph"/>
        <w:numPr>
          <w:ilvl w:val="0"/>
          <w:numId w:val="3"/>
        </w:numPr>
        <w:spacing w:after="60"/>
      </w:pPr>
      <w:r>
        <w:rPr>
          <w:rFonts w:ascii="Libre Franklin" w:cs="Libre Franklin" w:eastAsia="Libre Franklin" w:hAnsi="Libre Franklin"/>
          <w:color w:val="303A42"/>
          <w:sz w:val="22"/>
          <w:szCs w:val="22"/>
        </w:rPr>
        <w:t xml:space="preserve">Frequency compliance: % of growth markets achieving effective reach threshold</w:t>
      </w:r>
    </w:p>
    <w:p>
      <w:pPr>
        <w:pStyle w:val="ListParagraph"/>
        <w:numPr>
          <w:ilvl w:val="0"/>
          <w:numId w:val="3"/>
        </w:numPr>
        <w:spacing w:after="60"/>
      </w:pPr>
      <w:r>
        <w:rPr>
          <w:rFonts w:ascii="Libre Franklin" w:cs="Libre Franklin" w:eastAsia="Libre Franklin" w:hAnsi="Libre Franklin"/>
          <w:color w:val="303A42"/>
          <w:sz w:val="22"/>
          <w:szCs w:val="22"/>
        </w:rPr>
        <w:t xml:space="preserve">CTV/OLV completion rates and reach</w:t>
      </w:r>
    </w:p>
    <w:p>
      <w:pPr>
        <w:pStyle w:val="ListParagraph"/>
        <w:numPr>
          <w:ilvl w:val="0"/>
          <w:numId w:val="3"/>
        </w:numPr>
        <w:spacing w:after="60"/>
      </w:pPr>
      <w:r>
        <w:rPr>
          <w:rFonts w:ascii="Libre Franklin" w:cs="Libre Franklin" w:eastAsia="Libre Franklin" w:hAnsi="Libre Franklin"/>
          <w:color w:val="303A42"/>
          <w:sz w:val="22"/>
          <w:szCs w:val="22"/>
        </w:rPr>
        <w:t xml:space="preserve">Streaming audio listen-through rates</w:t>
      </w:r>
    </w:p>
    <w:p>
      <w:pPr>
        <w:pStyle w:val="ListParagraph"/>
        <w:numPr>
          <w:ilvl w:val="0"/>
          <w:numId w:val="3"/>
        </w:numPr>
        <w:spacing w:after="60"/>
      </w:pPr>
      <w:r>
        <w:rPr>
          <w:rFonts w:ascii="Libre Franklin" w:cs="Libre Franklin" w:eastAsia="Libre Franklin" w:hAnsi="Libre Franklin"/>
          <w:color w:val="303A42"/>
          <w:sz w:val="22"/>
          <w:szCs w:val="22"/>
        </w:rPr>
        <w:t xml:space="preserve">Active vs. Control market incrementality results</w:t>
      </w:r>
    </w:p>
    <w:p>
      <w:pPr>
        <w:spacing w:after="200"/>
      </w:pPr>
    </w:p>
    <w:p>
      <w:pPr>
        <w:pStyle w:val="Heading2"/>
      </w:pPr>
      <w:r>
        <w:t xml:space="preserve">6.4 High-value segment &amp; life event campaigns</w:t>
      </w:r>
    </w:p>
    <w:p>
      <w:pPr>
        <w:spacing w:after="120"/>
      </w:pPr>
      <w:r>
        <w:rPr>
          <w:rFonts w:ascii="Libre Franklin" w:cs="Libre Franklin" w:eastAsia="Libre Franklin" w:hAnsi="Libre Franklin"/>
          <w:color w:val="303A42"/>
          <w:sz w:val="22"/>
          <w:szCs w:val="22"/>
        </w:rPr>
        <w:t xml:space="preserve">Tracks up to 8 always-on life event campaigns individually (Home Purchase, Marriage, New Child, College, Inheritance, Job Change, Divorce, Retirement). Each shows status, CVR vs. mass market baseline (2–3x target), and segment targeting parameters.</w:t>
      </w:r>
    </w:p>
    <w:p>
      <w:pPr>
        <w:spacing w:after="200"/>
      </w:pPr>
    </w:p>
    <w:p>
      <w:pPr>
        <w:pStyle w:val="Heading2"/>
      </w:pPr>
      <w:r>
        <w:t xml:space="preserve">6.5 Mover marketing tracker</w:t>
      </w:r>
    </w:p>
    <w:p>
      <w:pPr>
        <w:pStyle w:val="ListParagraph"/>
        <w:numPr>
          <w:ilvl w:val="0"/>
          <w:numId w:val="3"/>
        </w:numPr>
        <w:spacing w:after="60"/>
      </w:pPr>
      <w:r>
        <w:rPr>
          <w:rFonts w:ascii="Libre Franklin" w:cs="Libre Franklin" w:eastAsia="Libre Franklin" w:hAnsi="Libre Franklin"/>
          <w:color w:val="303A42"/>
          <w:sz w:val="22"/>
          <w:szCs w:val="22"/>
        </w:rPr>
        <w:t xml:space="preserve">Mover data pipeline volume and quality</w:t>
      </w:r>
    </w:p>
    <w:p>
      <w:pPr>
        <w:pStyle w:val="ListParagraph"/>
        <w:numPr>
          <w:ilvl w:val="0"/>
          <w:numId w:val="3"/>
        </w:numPr>
        <w:spacing w:after="60"/>
      </w:pPr>
      <w:r>
        <w:rPr>
          <w:rFonts w:ascii="Libre Franklin" w:cs="Libre Franklin" w:eastAsia="Libre Franklin" w:hAnsi="Libre Franklin"/>
          <w:color w:val="303A42"/>
          <w:sz w:val="22"/>
          <w:szCs w:val="22"/>
        </w:rPr>
        <w:t xml:space="preserve">Mover-to-account conversion rate (3–5x propensity benchmark)</w:t>
      </w:r>
    </w:p>
    <w:p>
      <w:pPr>
        <w:pStyle w:val="ListParagraph"/>
        <w:numPr>
          <w:ilvl w:val="0"/>
          <w:numId w:val="3"/>
        </w:numPr>
        <w:spacing w:after="60"/>
      </w:pPr>
      <w:r>
        <w:rPr>
          <w:rFonts w:ascii="Libre Franklin" w:cs="Libre Franklin" w:eastAsia="Libre Franklin" w:hAnsi="Libre Franklin"/>
          <w:color w:val="303A42"/>
          <w:sz w:val="22"/>
          <w:szCs w:val="22"/>
        </w:rPr>
        <w:t xml:space="preserve">Geographic expansion status against market framework</w:t>
      </w:r>
    </w:p>
    <w:p>
      <w:pPr>
        <w:pStyle w:val="ListParagraph"/>
        <w:numPr>
          <w:ilvl w:val="0"/>
          <w:numId w:val="3"/>
        </w:numPr>
        <w:spacing w:after="60"/>
      </w:pPr>
      <w:r>
        <w:rPr>
          <w:rFonts w:ascii="Libre Franklin" w:cs="Libre Franklin" w:eastAsia="Libre Franklin" w:hAnsi="Libre Franklin"/>
          <w:color w:val="303A42"/>
          <w:sz w:val="22"/>
          <w:szCs w:val="22"/>
        </w:rPr>
        <w:t xml:space="preserve">High-income mover subset performance</w:t>
      </w:r>
    </w:p>
    <w:p>
      <w:pPr>
        <w:spacing w:after="200"/>
      </w:pPr>
    </w:p>
    <w:p>
      <w:r>
        <w:br w:type="page"/>
      </w:r>
    </w:p>
    <w:p>
      <w:pPr>
        <w:pStyle w:val="Heading1"/>
      </w:pPr>
      <w:r>
        <w:t xml:space="preserve">7. Module 6: Organic &amp; AEO intelligence</w:t>
      </w:r>
    </w:p>
    <w:p>
      <w:pPr>
        <w:spacing w:after="120"/>
      </w:pPr>
      <w:r>
        <w:rPr>
          <w:rFonts w:ascii="Libre Franklin" w:cs="Libre Franklin" w:eastAsia="Libre Franklin" w:hAnsi="Libre Franklin"/>
          <w:color w:val="303A42"/>
          <w:sz w:val="22"/>
          <w:szCs w:val="22"/>
        </w:rPr>
        <w:t xml:space="preserve">Monitors three organic disciplines — SEO, AEO (Answer Engine Optimization), and GEO (Generative Engine Optimization). This module tracks RVGT’s most distinctive competitive capability: measuring and improving a bank’s visibility in AI-generated answers.</w:t>
      </w:r>
    </w:p>
    <w:p>
      <w:pPr>
        <w:spacing w:after="200"/>
      </w:pPr>
    </w:p>
    <w:p>
      <w:pPr>
        <w:pStyle w:val="Heading2"/>
      </w:pPr>
      <w:r>
        <w:t xml:space="preserve">7.1 LLM Visibility Score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Dimension</w:t>
            </w:r>
          </w:p>
        </w:tc>
        <w:tc>
          <w:tcPr>
            <w:tcW w:type="dxa" w:w="656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Configurable Parameters</w:t>
            </w:r>
          </w:p>
        </w:tc>
      </w:tr>
      <w:tr>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Platforms tracked</w:t>
            </w:r>
          </w:p>
        </w:tc>
        <w:tc>
          <w:tcPr>
            <w:tcW w:type="dxa" w:w="6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Google AI Overviews, ChatGPT, Perplexity, Claude, Gemini, Copilot</w:t>
            </w:r>
          </w:p>
        </w:tc>
      </w:tr>
      <w:tr>
        <w:tc>
          <w:tcPr>
            <w:tcW w:type="dxa" w:w="2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Prompt library</w:t>
            </w:r>
          </w:p>
        </w:tc>
        <w:tc>
          <w:tcPr>
            <w:tcW w:type="dxa" w:w="6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Configurable per client (standard: 100–150 prompts across product/comparison/local categories)</w:t>
            </w:r>
          </w:p>
        </w:tc>
      </w:tr>
      <w:tr>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Markets</w:t>
            </w:r>
          </w:p>
        </w:tc>
        <w:tc>
          <w:tcPr>
            <w:tcW w:type="dxa" w:w="6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Aligned to client’s market framework</w:t>
            </w:r>
          </w:p>
        </w:tc>
      </w:tr>
      <w:tr>
        <w:tc>
          <w:tcPr>
            <w:tcW w:type="dxa" w:w="2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Refresh cadence</w:t>
            </w:r>
          </w:p>
        </w:tc>
        <w:tc>
          <w:tcPr>
            <w:tcW w:type="dxa" w:w="6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Weekly automated via AEO tool integration</w:t>
            </w:r>
          </w:p>
        </w:tc>
      </w:tr>
    </w:tbl>
    <w:p>
      <w:pPr>
        <w:spacing w:after="200"/>
      </w:pPr>
    </w:p>
    <w:p>
      <w:pPr>
        <w:spacing w:after="120"/>
      </w:pPr>
      <w:r>
        <w:rPr>
          <w:rFonts w:ascii="Libre Franklin" w:cs="Libre Franklin" w:eastAsia="Libre Franklin" w:hAnsi="Libre Franklin"/>
          <w:b/>
          <w:bCs/>
          <w:color w:val="303A42"/>
          <w:sz w:val="22"/>
          <w:szCs w:val="22"/>
        </w:rPr>
        <w:t xml:space="preserve">Metrics (per RVGT 12-Layer Testing Methodology):</w:t>
      </w:r>
    </w:p>
    <w:p>
      <w:pPr>
        <w:pStyle w:val="ListParagraph"/>
        <w:numPr>
          <w:ilvl w:val="0"/>
          <w:numId w:val="3"/>
        </w:numPr>
        <w:spacing w:after="60"/>
      </w:pPr>
      <w:r>
        <w:rPr>
          <w:rFonts w:ascii="Libre Franklin" w:cs="Libre Franklin" w:eastAsia="Libre Franklin" w:hAnsi="Libre Franklin"/>
          <w:color w:val="303A42"/>
          <w:sz w:val="22"/>
          <w:szCs w:val="22"/>
        </w:rPr>
        <w:t xml:space="preserve">Mention Rate — % of queries where client brand appears in AI response</w:t>
      </w:r>
    </w:p>
    <w:p>
      <w:pPr>
        <w:pStyle w:val="ListParagraph"/>
        <w:numPr>
          <w:ilvl w:val="0"/>
          <w:numId w:val="3"/>
        </w:numPr>
        <w:spacing w:after="60"/>
      </w:pPr>
      <w:r>
        <w:rPr>
          <w:rFonts w:ascii="Libre Franklin" w:cs="Libre Franklin" w:eastAsia="Libre Franklin" w:hAnsi="Libre Franklin"/>
          <w:color w:val="303A42"/>
          <w:sz w:val="22"/>
          <w:szCs w:val="22"/>
        </w:rPr>
        <w:t xml:space="preserve">Average Position — mean rank when listed (1 = first mentioned)</w:t>
      </w:r>
    </w:p>
    <w:p>
      <w:pPr>
        <w:pStyle w:val="ListParagraph"/>
        <w:numPr>
          <w:ilvl w:val="0"/>
          <w:numId w:val="3"/>
        </w:numPr>
        <w:spacing w:after="60"/>
      </w:pPr>
      <w:r>
        <w:rPr>
          <w:rFonts w:ascii="Libre Franklin" w:cs="Libre Franklin" w:eastAsia="Libre Franklin" w:hAnsi="Libre Franklin"/>
          <w:color w:val="303A42"/>
          <w:sz w:val="22"/>
          <w:szCs w:val="22"/>
        </w:rPr>
        <w:t xml:space="preserve">Share of Voice — brand mentions as % of total vs. competitors</w:t>
      </w:r>
    </w:p>
    <w:p>
      <w:pPr>
        <w:pStyle w:val="ListParagraph"/>
        <w:numPr>
          <w:ilvl w:val="0"/>
          <w:numId w:val="3"/>
        </w:numPr>
        <w:spacing w:after="60"/>
      </w:pPr>
      <w:r>
        <w:rPr>
          <w:rFonts w:ascii="Libre Franklin" w:cs="Libre Franklin" w:eastAsia="Libre Franklin" w:hAnsi="Libre Franklin"/>
          <w:color w:val="303A42"/>
          <w:sz w:val="22"/>
          <w:szCs w:val="22"/>
        </w:rPr>
        <w:t xml:space="preserve">Sentiment Score — −1 to +1 classification</w:t>
      </w:r>
    </w:p>
    <w:p>
      <w:pPr>
        <w:pStyle w:val="ListParagraph"/>
        <w:numPr>
          <w:ilvl w:val="0"/>
          <w:numId w:val="3"/>
        </w:numPr>
        <w:spacing w:after="60"/>
      </w:pPr>
      <w:r>
        <w:rPr>
          <w:rFonts w:ascii="Libre Franklin" w:cs="Libre Franklin" w:eastAsia="Libre Franklin" w:hAnsi="Libre Franklin"/>
          <w:color w:val="303A42"/>
          <w:sz w:val="22"/>
          <w:szCs w:val="22"/>
        </w:rPr>
        <w:t xml:space="preserve">Citation Rate — % of mentions linking to client’s own domain</w:t>
      </w:r>
    </w:p>
    <w:p>
      <w:pPr>
        <w:spacing w:after="200"/>
      </w:pPr>
    </w:p>
    <w:p>
      <w:pPr>
        <w:pStyle w:val="Heading2"/>
      </w:pPr>
      <w:r>
        <w:t xml:space="preserve">7.2 SEO performance</w:t>
      </w:r>
    </w:p>
    <w:p>
      <w:pPr>
        <w:pStyle w:val="ListParagraph"/>
        <w:numPr>
          <w:ilvl w:val="0"/>
          <w:numId w:val="3"/>
        </w:numPr>
        <w:spacing w:after="60"/>
      </w:pPr>
      <w:r>
        <w:rPr>
          <w:rFonts w:ascii="Libre Franklin" w:cs="Libre Franklin" w:eastAsia="Libre Franklin" w:hAnsi="Libre Franklin"/>
          <w:color w:val="303A42"/>
          <w:sz w:val="22"/>
          <w:szCs w:val="22"/>
        </w:rPr>
        <w:t xml:space="preserve">Organic account volume attributed to SEO</w:t>
      </w:r>
    </w:p>
    <w:p>
      <w:pPr>
        <w:pStyle w:val="ListParagraph"/>
        <w:numPr>
          <w:ilvl w:val="0"/>
          <w:numId w:val="3"/>
        </w:numPr>
        <w:spacing w:after="60"/>
      </w:pPr>
      <w:r>
        <w:rPr>
          <w:rFonts w:ascii="Libre Franklin" w:cs="Libre Franklin" w:eastAsia="Libre Franklin" w:hAnsi="Libre Franklin"/>
          <w:color w:val="303A42"/>
          <w:sz w:val="22"/>
          <w:szCs w:val="22"/>
        </w:rPr>
        <w:t xml:space="preserve">Keyword ranking distribution (page 1 / 2 / 3+)</w:t>
      </w:r>
    </w:p>
    <w:p>
      <w:pPr>
        <w:pStyle w:val="ListParagraph"/>
        <w:numPr>
          <w:ilvl w:val="0"/>
          <w:numId w:val="3"/>
        </w:numPr>
        <w:spacing w:after="60"/>
      </w:pPr>
      <w:r>
        <w:rPr>
          <w:rFonts w:ascii="Libre Franklin" w:cs="Libre Franklin" w:eastAsia="Libre Franklin" w:hAnsi="Libre Franklin"/>
          <w:color w:val="303A42"/>
          <w:sz w:val="22"/>
          <w:szCs w:val="22"/>
        </w:rPr>
        <w:t xml:space="preserve">Organic traffic by product category</w:t>
      </w:r>
    </w:p>
    <w:p>
      <w:pPr>
        <w:pStyle w:val="ListParagraph"/>
        <w:numPr>
          <w:ilvl w:val="0"/>
          <w:numId w:val="3"/>
        </w:numPr>
        <w:spacing w:after="60"/>
      </w:pPr>
      <w:r>
        <w:rPr>
          <w:rFonts w:ascii="Libre Franklin" w:cs="Libre Franklin" w:eastAsia="Libre Franklin" w:hAnsi="Libre Franklin"/>
          <w:color w:val="303A42"/>
          <w:sz w:val="22"/>
          <w:szCs w:val="22"/>
        </w:rPr>
        <w:t xml:space="preserve">Rank change alerts (auto-ingested from SEO tools)</w:t>
      </w:r>
    </w:p>
    <w:p>
      <w:pPr>
        <w:pStyle w:val="ListParagraph"/>
        <w:numPr>
          <w:ilvl w:val="0"/>
          <w:numId w:val="3"/>
        </w:numPr>
        <w:spacing w:after="60"/>
      </w:pPr>
      <w:r>
        <w:rPr>
          <w:rFonts w:ascii="Libre Franklin" w:cs="Libre Franklin" w:eastAsia="Libre Franklin" w:hAnsi="Libre Franklin"/>
          <w:color w:val="303A42"/>
          <w:sz w:val="22"/>
          <w:szCs w:val="22"/>
        </w:rPr>
        <w:t xml:space="preserve">Content calendar adherence</w:t>
      </w:r>
    </w:p>
    <w:p>
      <w:pPr>
        <w:spacing w:after="200"/>
      </w:pPr>
    </w:p>
    <w:p>
      <w:pPr>
        <w:pStyle w:val="Heading2"/>
      </w:pPr>
      <w:r>
        <w:t xml:space="preserve">7.3 Competitive AEO benchmarking</w:t>
      </w:r>
    </w:p>
    <w:p>
      <w:pPr>
        <w:spacing w:after="120"/>
      </w:pPr>
      <w:r>
        <w:rPr>
          <w:rFonts w:ascii="Libre Franklin" w:cs="Libre Franklin" w:eastAsia="Libre Franklin" w:hAnsi="Libre Franklin"/>
          <w:color w:val="303A42"/>
          <w:sz w:val="22"/>
          <w:szCs w:val="22"/>
        </w:rPr>
        <w:t xml:space="preserve">For each competitor and BD prospect, show their LLM Visibility Score alongside the client’s. Powers the BD pitch: “When a consumer asks ChatGPT for the best checking account near them, does your bank appear in the answer?”</w:t>
      </w:r>
    </w:p>
    <w:p>
      <w:pPr>
        <w:spacing w:after="200"/>
      </w:pPr>
    </w:p>
    <w:p>
      <w:r>
        <w:br w:type="page"/>
      </w:r>
    </w:p>
    <w:p>
      <w:pPr>
        <w:pStyle w:val="Heading1"/>
      </w:pPr>
      <w:r>
        <w:t xml:space="preserve">8. Module 7: Product &amp; experience innovation</w:t>
      </w:r>
    </w:p>
    <w:p>
      <w:pPr>
        <w:spacing w:after="120"/>
      </w:pPr>
      <w:r>
        <w:rPr>
          <w:rFonts w:ascii="Libre Franklin" w:cs="Libre Franklin" w:eastAsia="Libre Franklin" w:hAnsi="Libre Franklin"/>
          <w:color w:val="303A42"/>
          <w:sz w:val="22"/>
          <w:szCs w:val="22"/>
        </w:rPr>
        <w:t xml:space="preserve">Tracks the product innovation pipeline and digital experience transformation roadmap. More strategic progress tracker than operational dashboard.</w:t>
      </w:r>
    </w:p>
    <w:p>
      <w:pPr>
        <w:spacing w:after="200"/>
      </w:pPr>
    </w:p>
    <w:p>
      <w:pPr>
        <w:pStyle w:val="Heading2"/>
      </w:pPr>
      <w:r>
        <w:t xml:space="preserve">8.1 Product pipeline</w:t>
      </w:r>
    </w:p>
    <w:p>
      <w:pPr>
        <w:spacing w:after="120"/>
      </w:pPr>
      <w:r>
        <w:rPr>
          <w:rFonts w:ascii="Libre Franklin" w:cs="Libre Franklin" w:eastAsia="Libre Franklin" w:hAnsi="Libre Franklin"/>
          <w:color w:val="303A42"/>
          <w:sz w:val="22"/>
          <w:szCs w:val="22"/>
        </w:rPr>
        <w:t xml:space="preserve">Configurable tracker for product initiatives. Each entry shows: initiative name, status (Concept / In Design / In Build / In Market), key success metric, and connection to the acquisition or retention funnel. Standard categories include loyalty enhancements, AI-powered product recommendation, co-branded cards, and programmable/life-stage products.</w:t>
      </w:r>
    </w:p>
    <w:p>
      <w:pPr>
        <w:spacing w:after="200"/>
      </w:pPr>
    </w:p>
    <w:p>
      <w:pPr>
        <w:pStyle w:val="Heading2"/>
      </w:pPr>
      <w:r>
        <w:t xml:space="preserve">8.2 Digital experience transformation roadmap</w:t>
      </w:r>
    </w:p>
    <w:p>
      <w:pPr>
        <w:spacing w:after="120"/>
      </w:pPr>
      <w:r>
        <w:rPr>
          <w:rFonts w:ascii="Libre Franklin" w:cs="Libre Franklin" w:eastAsia="Libre Franklin" w:hAnsi="Libre Franklin"/>
          <w:color w:val="303A42"/>
          <w:sz w:val="22"/>
          <w:szCs w:val="22"/>
        </w:rPr>
        <w:t xml:space="preserve">Three-wave tracker: Wave 1 (Foundation — stabilize core journeys), Wave 2 (Scale — personalization and funnel integration), Wave 3 (Transform — AI-first conversational experience). Status, key deliverables, and dependencies shown for each wave.</w:t>
      </w:r>
    </w:p>
    <w:p>
      <w:pPr>
        <w:spacing w:after="200"/>
      </w:pPr>
    </w:p>
    <w:p>
      <w:pPr>
        <w:pStyle w:val="Heading2"/>
      </w:pPr>
      <w:r>
        <w:t xml:space="preserve">8.3 Testing velocity tracker</w:t>
      </w:r>
    </w:p>
    <w:p>
      <w:pPr>
        <w:spacing w:after="120"/>
      </w:pPr>
      <w:r>
        <w:rPr>
          <w:rFonts w:ascii="Libre Franklin" w:cs="Libre Franklin" w:eastAsia="Libre Franklin" w:hAnsi="Libre Franklin"/>
          <w:color w:val="303A42"/>
          <w:sz w:val="22"/>
          <w:szCs w:val="22"/>
        </w:rPr>
        <w:t xml:space="preserve">Monitors A/B and multivariate testing cadence: active tests running, average test duration, winning variant deployment speed, and cumulative conversion lift. Alerts if testing velocity drops below established baseline.</w:t>
      </w:r>
    </w:p>
    <w:p>
      <w:pPr>
        <w:spacing w:after="200"/>
      </w:pPr>
    </w:p>
    <w:p>
      <w:r>
        <w:br w:type="page"/>
      </w:r>
    </w:p>
    <w:p>
      <w:pPr>
        <w:pStyle w:val="Heading1"/>
      </w:pPr>
      <w:r>
        <w:t xml:space="preserve">9. Module 8: Operations command</w:t>
      </w:r>
    </w:p>
    <w:p>
      <w:pPr>
        <w:spacing w:after="120"/>
      </w:pPr>
      <w:r>
        <w:rPr>
          <w:rFonts w:ascii="Libre Franklin" w:cs="Libre Franklin" w:eastAsia="Libre Franklin" w:hAnsi="Libre Franklin"/>
          <w:color w:val="303A42"/>
          <w:sz w:val="22"/>
          <w:szCs w:val="22"/>
        </w:rPr>
        <w:t xml:space="preserve">Team management, approval workflows, launch calendars, and system health monitoring. Keeps the CMO informed on execution without attending every standup.</w:t>
      </w:r>
    </w:p>
    <w:p>
      <w:pPr>
        <w:spacing w:after="200"/>
      </w:pPr>
    </w:p>
    <w:p>
      <w:pPr>
        <w:pStyle w:val="Heading2"/>
      </w:pPr>
      <w:r>
        <w:t xml:space="preserve">9.1 Launch calendar</w:t>
      </w:r>
    </w:p>
    <w:p>
      <w:pPr>
        <w:spacing w:after="120"/>
      </w:pPr>
      <w:r>
        <w:rPr>
          <w:rFonts w:ascii="Libre Franklin" w:cs="Libre Franklin" w:eastAsia="Libre Franklin" w:hAnsi="Libre Franklin"/>
          <w:color w:val="303A42"/>
          <w:sz w:val="22"/>
          <w:szCs w:val="22"/>
        </w:rPr>
        <w:t xml:space="preserve">Unified calendar showing every campaign launch, content deployment, test start/stop, product release, and system go-live. Each event tagged by workstream with approval status.</w:t>
      </w:r>
    </w:p>
    <w:p>
      <w:pPr>
        <w:spacing w:after="200"/>
      </w:pPr>
    </w:p>
    <w:p>
      <w:pPr>
        <w:pStyle w:val="Heading2"/>
      </w:pPr>
      <w:r>
        <w:t xml:space="preserve">9.2 Team capacity &amp; velocity</w:t>
      </w:r>
    </w:p>
    <w:p>
      <w:pPr>
        <w:pStyle w:val="ListParagraph"/>
        <w:numPr>
          <w:ilvl w:val="0"/>
          <w:numId w:val="3"/>
        </w:numPr>
        <w:spacing w:after="60"/>
      </w:pPr>
      <w:r>
        <w:rPr>
          <w:rFonts w:ascii="Libre Franklin" w:cs="Libre Franklin" w:eastAsia="Libre Franklin" w:hAnsi="Libre Franklin"/>
          <w:color w:val="303A42"/>
          <w:sz w:val="22"/>
          <w:szCs w:val="22"/>
        </w:rPr>
        <w:t xml:space="preserve">Sprint burndown and velocity by pod/workstream</w:t>
      </w:r>
    </w:p>
    <w:p>
      <w:pPr>
        <w:pStyle w:val="ListParagraph"/>
        <w:numPr>
          <w:ilvl w:val="0"/>
          <w:numId w:val="3"/>
        </w:numPr>
        <w:spacing w:after="60"/>
      </w:pPr>
      <w:r>
        <w:rPr>
          <w:rFonts w:ascii="Libre Franklin" w:cs="Libre Franklin" w:eastAsia="Libre Franklin" w:hAnsi="Libre Franklin"/>
          <w:color w:val="303A42"/>
          <w:sz w:val="22"/>
          <w:szCs w:val="22"/>
        </w:rPr>
        <w:t xml:space="preserve">Resource utilization heat map</w:t>
      </w:r>
    </w:p>
    <w:p>
      <w:pPr>
        <w:pStyle w:val="ListParagraph"/>
        <w:numPr>
          <w:ilvl w:val="0"/>
          <w:numId w:val="3"/>
        </w:numPr>
        <w:spacing w:after="60"/>
      </w:pPr>
      <w:r>
        <w:rPr>
          <w:rFonts w:ascii="Libre Franklin" w:cs="Libre Franklin" w:eastAsia="Libre Franklin" w:hAnsi="Libre Franklin"/>
          <w:color w:val="303A42"/>
          <w:sz w:val="22"/>
          <w:szCs w:val="22"/>
        </w:rPr>
        <w:t xml:space="preserve">Ticket aging for high-priority items</w:t>
      </w:r>
    </w:p>
    <w:p>
      <w:pPr>
        <w:pStyle w:val="ListParagraph"/>
        <w:numPr>
          <w:ilvl w:val="0"/>
          <w:numId w:val="3"/>
        </w:numPr>
        <w:spacing w:after="60"/>
      </w:pPr>
      <w:r>
        <w:rPr>
          <w:rFonts w:ascii="Libre Franklin" w:cs="Libre Franklin" w:eastAsia="Libre Franklin" w:hAnsi="Libre Franklin"/>
          <w:color w:val="303A42"/>
          <w:sz w:val="22"/>
          <w:szCs w:val="22"/>
        </w:rPr>
        <w:t xml:space="preserve">Blocked ticket alerts with escalation path</w:t>
      </w:r>
    </w:p>
    <w:p>
      <w:pPr>
        <w:spacing w:after="200"/>
      </w:pPr>
    </w:p>
    <w:p>
      <w:pPr>
        <w:pStyle w:val="Heading2"/>
      </w:pPr>
      <w:r>
        <w:t xml:space="preserve">9.3 Approval queue</w:t>
      </w:r>
    </w:p>
    <w:p>
      <w:pPr>
        <w:spacing w:after="120"/>
      </w:pPr>
      <w:r>
        <w:rPr>
          <w:rFonts w:ascii="Libre Franklin" w:cs="Libre Franklin" w:eastAsia="Libre Franklin" w:hAnsi="Libre Franklin"/>
          <w:color w:val="303A42"/>
          <w:sz w:val="22"/>
          <w:szCs w:val="22"/>
        </w:rPr>
        <w:t xml:space="preserve">Centralized queue of items awaiting CMO approval: budget reallocations, campaign launches, creative sign-offs, market tier changes, vendor evaluations. One-click approve/reject with estimated impact shown.</w:t>
      </w:r>
    </w:p>
    <w:p>
      <w:pPr>
        <w:spacing w:after="200"/>
      </w:pPr>
    </w:p>
    <w:p>
      <w:pPr>
        <w:pStyle w:val="Heading2"/>
      </w:pPr>
      <w:r>
        <w:t xml:space="preserve">9.4 System health monitor</w:t>
      </w:r>
    </w:p>
    <w:p>
      <w:pPr>
        <w:spacing w:after="120"/>
      </w:pPr>
      <w:r>
        <w:rPr>
          <w:rFonts w:ascii="Libre Franklin" w:cs="Libre Franklin" w:eastAsia="Libre Franklin" w:hAnsi="Libre Franklin"/>
          <w:color w:val="303A42"/>
          <w:sz w:val="22"/>
          <w:szCs w:val="22"/>
        </w:rPr>
        <w:t xml:space="preserve">Tracks the health of every connected data source and client-side system. Standard health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System Category</w:t>
            </w:r>
          </w:p>
        </w:tc>
        <w:tc>
          <w:tcPr>
            <w:tcW w:type="dxa" w:w="636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Health Checks</w:t>
            </w:r>
          </w:p>
        </w:tc>
      </w:tr>
      <w:tr>
        <w:tc>
          <w:tcPr>
            <w:tcW w:type="dxa" w:w="3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Behavioral Data Layer</w:t>
            </w:r>
          </w:p>
        </w:tc>
        <w:tc>
          <w:tcPr>
            <w:tcW w:type="dxa" w:w="63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Event flow volume, data freshness, CRM sync lag</w:t>
            </w:r>
          </w:p>
        </w:tc>
      </w:tr>
      <w:tr>
        <w:tc>
          <w:tcPr>
            <w:tcW w:type="dxa" w:w="3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Offer Management Engine</w:t>
            </w:r>
          </w:p>
        </w:tc>
        <w:tc>
          <w:tcPr>
            <w:tcW w:type="dxa" w:w="63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API response time, fulfillment tracking coverage</w:t>
            </w:r>
          </w:p>
        </w:tc>
      </w:tr>
      <w:tr>
        <w:tc>
          <w:tcPr>
            <w:tcW w:type="dxa" w:w="3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AI / Analytics Tools</w:t>
            </w:r>
          </w:p>
        </w:tc>
        <w:tc>
          <w:tcPr>
            <w:tcW w:type="dxa" w:w="63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Query volume, response quality, API latency</w:t>
            </w:r>
          </w:p>
        </w:tc>
      </w:tr>
      <w:tr>
        <w:tc>
          <w:tcPr>
            <w:tcW w:type="dxa" w:w="3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CMS / Site Platform</w:t>
            </w:r>
          </w:p>
        </w:tc>
        <w:tc>
          <w:tcPr>
            <w:tcW w:type="dxa" w:w="63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Migration status, redirect coverage, staging vs. production delta</w:t>
            </w:r>
          </w:p>
        </w:tc>
      </w:tr>
      <w:tr>
        <w:tc>
          <w:tcPr>
            <w:tcW w:type="dxa" w:w="3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Personalization Engine</w:t>
            </w:r>
          </w:p>
        </w:tc>
        <w:tc>
          <w:tcPr>
            <w:tcW w:type="dxa" w:w="63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Segment freshness, model accuracy, personalization coverage</w:t>
            </w:r>
          </w:p>
        </w:tc>
      </w:tr>
      <w:tr>
        <w:tc>
          <w:tcPr>
            <w:tcW w:type="dxa" w:w="3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Attribution ETL</w:t>
            </w:r>
          </w:p>
        </w:tc>
        <w:tc>
          <w:tcPr>
            <w:tcW w:type="dxa" w:w="63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Pipeline freshness (&lt; 24hr lag), record count, attribute coverage</w:t>
            </w:r>
          </w:p>
        </w:tc>
      </w:tr>
    </w:tbl>
    <w:p>
      <w:pPr>
        <w:spacing w:after="200"/>
      </w:pPr>
    </w:p>
    <w:p>
      <w:pPr>
        <w:pStyle w:val="Heading2"/>
      </w:pPr>
      <w:r>
        <w:t xml:space="preserve">9.5 Competitive intelligence feed</w:t>
      </w:r>
    </w:p>
    <w:p>
      <w:pPr>
        <w:spacing w:after="120"/>
      </w:pPr>
      <w:r>
        <w:rPr>
          <w:rFonts w:ascii="Libre Franklin" w:cs="Libre Franklin" w:eastAsia="Libre Franklin" w:hAnsi="Libre Franklin"/>
          <w:color w:val="303A42"/>
          <w:sz w:val="22"/>
          <w:szCs w:val="22"/>
        </w:rPr>
        <w:t xml:space="preserve">Auto-curated feed of competitive signals: ad spend shifts, SEO competitive alerts, earnings highlights from tracked institutions, and hiring pattern signals. Sourced from integrated competitive monitoring tools plus RVGT’s internal intelligence capabilities.</w:t>
      </w:r>
    </w:p>
    <w:p>
      <w:pPr>
        <w:spacing w:after="200"/>
      </w:pPr>
    </w:p>
    <w:p>
      <w:r>
        <w:br w:type="page"/>
      </w:r>
    </w:p>
    <w:p>
      <w:pPr>
        <w:pStyle w:val="Heading1"/>
      </w:pPr>
      <w:r>
        <w:t xml:space="preserve">10. Module 9: Full-funnel acquisition simulator</w:t>
      </w:r>
    </w:p>
    <w:p>
      <w:pPr>
        <w:spacing w:after="200"/>
      </w:pPr>
    </w:p>
    <w:p>
      <w:pPr>
        <w:spacing w:after="120"/>
      </w:pPr>
      <w:r>
        <w:rPr>
          <w:rFonts w:ascii="Libre Franklin" w:cs="Libre Franklin" w:eastAsia="Libre Franklin" w:hAnsi="Libre Franklin"/>
          <w:b/>
          <w:bCs/>
          <w:color w:val="303A42"/>
          <w:sz w:val="22"/>
          <w:szCs w:val="22"/>
        </w:rPr>
        <w:t xml:space="preserve">The Simulator is Apex’s most strategically versatile module. </w:t>
      </w:r>
      <w:r>
        <w:rPr>
          <w:rFonts w:ascii="Libre Franklin" w:cs="Libre Franklin" w:eastAsia="Libre Franklin" w:hAnsi="Libre Franklin"/>
          <w:color w:val="303A42"/>
          <w:sz w:val="22"/>
          <w:szCs w:val="22"/>
        </w:rPr>
        <w:t xml:space="preserve">It models the complete acquisition economics for any financial institution — from media spend allocation through funded households to projected lifetime value — without requiring a live data connection. It operates in two modes: BD Mode for pitching prospects using industry benchmarks, and Client Mode for active engagements using live performance data.</w:t>
      </w:r>
    </w:p>
    <w:p>
      <w:pPr>
        <w:spacing w:after="200"/>
      </w:pPr>
    </w:p>
    <w:p>
      <w:pPr>
        <w:pStyle w:val="Heading2"/>
      </w:pPr>
      <w:r>
        <w:t xml:space="preserve">10.1 Dual-mode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Dimension</w:t>
            </w:r>
          </w:p>
        </w:tc>
        <w:tc>
          <w:tcPr>
            <w:tcW w:type="dxa" w:w="368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BD Mode (Prospects)</w:t>
            </w:r>
          </w:p>
        </w:tc>
        <w:tc>
          <w:tcPr>
            <w:tcW w:type="dxa" w:w="368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Client Mode (Active Engagements)</w:t>
            </w:r>
          </w:p>
        </w:tc>
      </w:tr>
      <w:tr>
        <w:tc>
          <w:tcPr>
            <w:tcW w:type="dxa" w:w="2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Data source</w:t>
            </w:r>
          </w:p>
        </w:tc>
        <w:tc>
          <w:tcPr>
            <w:tcW w:type="dxa" w:w="368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Industry benchmarks + RVGT proprietary intelligence</w:t>
            </w:r>
          </w:p>
        </w:tc>
        <w:tc>
          <w:tcPr>
            <w:tcW w:type="dxa" w:w="368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Live data from connected client systems</w:t>
            </w:r>
          </w:p>
        </w:tc>
      </w:tr>
      <w:tr>
        <w:tc>
          <w:tcPr>
            <w:tcW w:type="dxa" w:w="2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Conversion rates</w:t>
            </w:r>
          </w:p>
        </w:tc>
        <w:tc>
          <w:tcPr>
            <w:tcW w:type="dxa" w:w="368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Pre-loaded industry averages (editable)</w:t>
            </w:r>
          </w:p>
        </w:tc>
        <w:tc>
          <w:tcPr>
            <w:tcW w:type="dxa" w:w="368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Actual historical rates from attribution ETL</w:t>
            </w:r>
          </w:p>
        </w:tc>
      </w:tr>
      <w:tr>
        <w:tc>
          <w:tcPr>
            <w:tcW w:type="dxa" w:w="2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Market framework</w:t>
            </w:r>
          </w:p>
        </w:tc>
        <w:tc>
          <w:tcPr>
            <w:tcW w:type="dxa" w:w="368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Estimated from public data (branch count, MSA population)</w:t>
            </w:r>
          </w:p>
        </w:tc>
        <w:tc>
          <w:tcPr>
            <w:tcW w:type="dxa" w:w="368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Client’s actual market tiers and performance data</w:t>
            </w:r>
          </w:p>
        </w:tc>
      </w:tr>
      <w:tr>
        <w:tc>
          <w:tcPr>
            <w:tcW w:type="dxa" w:w="2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LTV assumptions</w:t>
            </w:r>
          </w:p>
        </w:tc>
        <w:tc>
          <w:tcPr>
            <w:tcW w:type="dxa" w:w="368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Industry benchmarks ($2,000–$3,500 per checking HH)</w:t>
            </w:r>
          </w:p>
        </w:tc>
        <w:tc>
          <w:tcPr>
            <w:tcW w:type="dxa" w:w="368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Client-specific modeled LTV from CRM data</w:t>
            </w:r>
          </w:p>
        </w:tc>
      </w:tr>
      <w:tr>
        <w:tc>
          <w:tcPr>
            <w:tcW w:type="dxa" w:w="2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Audience</w:t>
            </w:r>
          </w:p>
        </w:tc>
        <w:tc>
          <w:tcPr>
            <w:tcW w:type="dxa" w:w="368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BD team pitching a prospect</w:t>
            </w:r>
          </w:p>
        </w:tc>
        <w:tc>
          <w:tcPr>
            <w:tcW w:type="dxa" w:w="368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CMO and workstream leads planning allocation</w:t>
            </w:r>
          </w:p>
        </w:tc>
      </w:tr>
      <w:tr>
        <w:tc>
          <w:tcPr>
            <w:tcW w:type="dxa" w:w="2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Primary question</w:t>
            </w:r>
          </w:p>
        </w:tc>
        <w:tc>
          <w:tcPr>
            <w:tcW w:type="dxa" w:w="368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"What could your funnel look like with RVGT?"</w:t>
            </w:r>
          </w:p>
        </w:tc>
        <w:tc>
          <w:tcPr>
            <w:tcW w:type="dxa" w:w="368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"What happens if we shift $X from Channel A to B?"</w:t>
            </w:r>
          </w:p>
        </w:tc>
      </w:tr>
    </w:tbl>
    <w:p>
      <w:pPr>
        <w:spacing w:after="200"/>
      </w:pPr>
    </w:p>
    <w:p>
      <w:pPr>
        <w:pStyle w:val="Heading2"/>
      </w:pPr>
      <w:r>
        <w:t xml:space="preserve">10.2 Input layer: Spend &amp; channel allocation</w:t>
      </w:r>
    </w:p>
    <w:p>
      <w:pPr>
        <w:spacing w:after="120"/>
      </w:pPr>
      <w:r>
        <w:rPr>
          <w:rFonts w:ascii="Libre Franklin" w:cs="Libre Franklin" w:eastAsia="Libre Franklin" w:hAnsi="Libre Franklin"/>
          <w:color w:val="303A42"/>
          <w:sz w:val="22"/>
          <w:szCs w:val="22"/>
        </w:rPr>
        <w:t xml:space="preserve">The Simulator uses a layered input model: the CMO or BD lead sets high-level budget allocations across major buckets, then optionally drills into any bucket to adjust sub-tactic splits. This keeps the interface clean for a pitch while allowing planning-depth granularity when needed.</w:t>
      </w:r>
    </w:p>
    <w:p>
      <w:pPr>
        <w:spacing w:after="200"/>
      </w:pPr>
    </w:p>
    <w:p>
      <w:pPr>
        <w:spacing w:after="120"/>
      </w:pPr>
      <w:r>
        <w:rPr>
          <w:rFonts w:ascii="Libre Franklin" w:cs="Libre Franklin" w:eastAsia="Libre Franklin" w:hAnsi="Libre Franklin"/>
          <w:b/>
          <w:bCs/>
          <w:color w:val="303A42"/>
          <w:sz w:val="22"/>
          <w:szCs w:val="22"/>
        </w:rPr>
        <w:t xml:space="preserve">Layer 1 — Major budget buckets (~6 levers):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600"/>
        <w:gridCol w:w="2360"/>
      </w:tblGrid>
      <w:tr>
        <w:tc>
          <w:tcPr>
            <w:tcW w:type="dxa" w:w="24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Bucket</w:t>
            </w:r>
          </w:p>
        </w:tc>
        <w:tc>
          <w:tcPr>
            <w:tcW w:type="dxa" w:w="30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Description</w:t>
            </w:r>
          </w:p>
        </w:tc>
        <w:tc>
          <w:tcPr>
            <w:tcW w:type="dxa" w:w="16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Typical Range</w:t>
            </w:r>
          </w:p>
        </w:tc>
        <w:tc>
          <w:tcPr>
            <w:tcW w:type="dxa" w:w="236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Default Split</w:t>
            </w:r>
          </w:p>
        </w:tc>
      </w:tr>
      <w:tr>
        <w:tc>
          <w:tcPr>
            <w:tcW w:type="dxa" w:w="24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Brand Media</w:t>
            </w:r>
          </w:p>
        </w:tc>
        <w:tc>
          <w:tcPr>
            <w:tcW w:type="dxa" w:w="3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Upper-funnel awareness and demand creation (CTV, social, audio)</w:t>
            </w:r>
          </w:p>
        </w:tc>
        <w:tc>
          <w:tcPr>
            <w:tcW w:type="dxa" w:w="16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$5M–$15M/yr</w:t>
            </w:r>
          </w:p>
        </w:tc>
        <w:tc>
          <w:tcPr>
            <w:tcW w:type="dxa" w:w="23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40% of total media</w:t>
            </w:r>
          </w:p>
        </w:tc>
      </w:tr>
      <w:tr>
        <w:tc>
          <w:tcPr>
            <w:tcW w:type="dxa" w:w="24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Performance Media (SEM)</w:t>
            </w:r>
          </w:p>
        </w:tc>
        <w:tc>
          <w:tcPr>
            <w:tcW w:type="dxa" w:w="3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Demand capture via paid search</w:t>
            </w:r>
          </w:p>
        </w:tc>
        <w:tc>
          <w:tcPr>
            <w:tcW w:type="dxa" w:w="16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$2M–$5M/yr</w:t>
            </w:r>
          </w:p>
        </w:tc>
        <w:tc>
          <w:tcPr>
            <w:tcW w:type="dxa" w:w="23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25% of total media</w:t>
            </w:r>
          </w:p>
        </w:tc>
      </w:tr>
      <w:tr>
        <w:tc>
          <w:tcPr>
            <w:tcW w:type="dxa" w:w="24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Paid Social (Performance)</w:t>
            </w:r>
          </w:p>
        </w:tc>
        <w:tc>
          <w:tcPr>
            <w:tcW w:type="dxa" w:w="3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Mid-funnel lead generation via Meta, TikTok, LinkedIn</w:t>
            </w:r>
          </w:p>
        </w:tc>
        <w:tc>
          <w:tcPr>
            <w:tcW w:type="dxa" w:w="16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$1M–$4M/yr</w:t>
            </w:r>
          </w:p>
        </w:tc>
        <w:tc>
          <w:tcPr>
            <w:tcW w:type="dxa" w:w="23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15% of total media</w:t>
            </w:r>
          </w:p>
        </w:tc>
      </w:tr>
      <w:tr>
        <w:tc>
          <w:tcPr>
            <w:tcW w:type="dxa" w:w="24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High-Value Segment Overlay</w:t>
            </w:r>
          </w:p>
        </w:tc>
        <w:tc>
          <w:tcPr>
            <w:tcW w:type="dxa" w:w="3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Life event targeting, mover marketing, affluent campaigns</w:t>
            </w:r>
          </w:p>
        </w:tc>
        <w:tc>
          <w:tcPr>
            <w:tcW w:type="dxa" w:w="16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$2M–$6M/yr</w:t>
            </w:r>
          </w:p>
        </w:tc>
        <w:tc>
          <w:tcPr>
            <w:tcW w:type="dxa" w:w="23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12% of total media</w:t>
            </w:r>
          </w:p>
        </w:tc>
      </w:tr>
      <w:tr>
        <w:tc>
          <w:tcPr>
            <w:tcW w:type="dxa" w:w="24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SEO / AEO / Content</w:t>
            </w:r>
          </w:p>
        </w:tc>
        <w:tc>
          <w:tcPr>
            <w:tcW w:type="dxa" w:w="3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Organic visibility, LLM optimization, content production</w:t>
            </w:r>
          </w:p>
        </w:tc>
        <w:tc>
          <w:tcPr>
            <w:tcW w:type="dxa" w:w="16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$500K–$2M/yr</w:t>
            </w:r>
          </w:p>
        </w:tc>
        <w:tc>
          <w:tcPr>
            <w:tcW w:type="dxa" w:w="23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5% of total media</w:t>
            </w:r>
          </w:p>
        </w:tc>
      </w:tr>
      <w:tr>
        <w:tc>
          <w:tcPr>
            <w:tcW w:type="dxa" w:w="24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Conversion &amp; Testing</w:t>
            </w:r>
          </w:p>
        </w:tc>
        <w:tc>
          <w:tcPr>
            <w:tcW w:type="dxa" w:w="3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Landing page optimization, A/B testing, personalization</w:t>
            </w:r>
          </w:p>
        </w:tc>
        <w:tc>
          <w:tcPr>
            <w:tcW w:type="dxa" w:w="16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$300K–$1M/yr</w:t>
            </w:r>
          </w:p>
        </w:tc>
        <w:tc>
          <w:tcPr>
            <w:tcW w:type="dxa" w:w="23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3% of total media</w:t>
            </w:r>
          </w:p>
        </w:tc>
      </w:tr>
    </w:tbl>
    <w:p>
      <w:pPr>
        <w:spacing w:after="200"/>
      </w:pPr>
    </w:p>
    <w:p>
      <w:pPr>
        <w:spacing w:after="120"/>
      </w:pPr>
      <w:r>
        <w:rPr>
          <w:rFonts w:ascii="Libre Franklin" w:cs="Libre Franklin" w:eastAsia="Libre Franklin" w:hAnsi="Libre Franklin"/>
          <w:b/>
          <w:bCs/>
          <w:color w:val="303A42"/>
          <w:sz w:val="22"/>
          <w:szCs w:val="22"/>
        </w:rPr>
        <w:t xml:space="preserve">Layer 2 — Sub-tactic drill-in (click any bucket to expand):</w:t>
      </w:r>
    </w:p>
    <w:p>
      <w:pPr>
        <w:spacing w:after="200"/>
      </w:pPr>
    </w:p>
    <w:p>
      <w:pPr>
        <w:spacing w:after="120"/>
      </w:pPr>
      <w:r>
        <w:rPr>
          <w:rFonts w:ascii="Libre Franklin" w:cs="Libre Franklin" w:eastAsia="Libre Franklin" w:hAnsi="Libre Franklin"/>
          <w:b/>
          <w:bCs/>
          <w:i/>
          <w:iCs/>
          <w:color w:val="303A42"/>
          <w:sz w:val="22"/>
          <w:szCs w:val="22"/>
        </w:rPr>
        <w:t xml:space="preserve">Brand Media drill-in:</w:t>
      </w:r>
    </w:p>
    <w:p>
      <w:pPr>
        <w:pStyle w:val="ListParagraph"/>
        <w:numPr>
          <w:ilvl w:val="0"/>
          <w:numId w:val="3"/>
        </w:numPr>
        <w:spacing w:after="60"/>
      </w:pPr>
      <w:r>
        <w:rPr>
          <w:rFonts w:ascii="Libre Franklin" w:cs="Libre Franklin" w:eastAsia="Libre Franklin" w:hAnsi="Libre Franklin"/>
          <w:color w:val="303A42"/>
          <w:sz w:val="22"/>
          <w:szCs w:val="22"/>
        </w:rPr>
        <w:t xml:space="preserve">CTV / OLV: % of brand budget (default 40%)</w:t>
      </w:r>
    </w:p>
    <w:p>
      <w:pPr>
        <w:pStyle w:val="ListParagraph"/>
        <w:numPr>
          <w:ilvl w:val="0"/>
          <w:numId w:val="3"/>
        </w:numPr>
        <w:spacing w:after="60"/>
      </w:pPr>
      <w:r>
        <w:rPr>
          <w:rFonts w:ascii="Libre Franklin" w:cs="Libre Franklin" w:eastAsia="Libre Franklin" w:hAnsi="Libre Franklin"/>
          <w:color w:val="303A42"/>
          <w:sz w:val="22"/>
          <w:szCs w:val="22"/>
        </w:rPr>
        <w:t xml:space="preserve">Paid Social (brand): % of brand budget (default 35%)</w:t>
      </w:r>
    </w:p>
    <w:p>
      <w:pPr>
        <w:pStyle w:val="ListParagraph"/>
        <w:numPr>
          <w:ilvl w:val="0"/>
          <w:numId w:val="3"/>
        </w:numPr>
        <w:spacing w:after="60"/>
      </w:pPr>
      <w:r>
        <w:rPr>
          <w:rFonts w:ascii="Libre Franklin" w:cs="Libre Franklin" w:eastAsia="Libre Franklin" w:hAnsi="Libre Franklin"/>
          <w:color w:val="303A42"/>
          <w:sz w:val="22"/>
          <w:szCs w:val="22"/>
        </w:rPr>
        <w:t xml:space="preserve">Streaming Audio: % of brand budget (default 12%)</w:t>
      </w:r>
    </w:p>
    <w:p>
      <w:pPr>
        <w:pStyle w:val="ListParagraph"/>
        <w:numPr>
          <w:ilvl w:val="0"/>
          <w:numId w:val="3"/>
        </w:numPr>
        <w:spacing w:after="60"/>
      </w:pPr>
      <w:r>
        <w:rPr>
          <w:rFonts w:ascii="Libre Franklin" w:cs="Libre Franklin" w:eastAsia="Libre Franklin" w:hAnsi="Libre Franklin"/>
          <w:color w:val="303A42"/>
          <w:sz w:val="22"/>
          <w:szCs w:val="22"/>
        </w:rPr>
        <w:t xml:space="preserve">Out-of-Home / Print: % of brand budget (default 8%)</w:t>
      </w:r>
    </w:p>
    <w:p>
      <w:pPr>
        <w:pStyle w:val="ListParagraph"/>
        <w:numPr>
          <w:ilvl w:val="0"/>
          <w:numId w:val="3"/>
        </w:numPr>
        <w:spacing w:after="60"/>
      </w:pPr>
      <w:r>
        <w:rPr>
          <w:rFonts w:ascii="Libre Franklin" w:cs="Libre Franklin" w:eastAsia="Libre Franklin" w:hAnsi="Libre Franklin"/>
          <w:color w:val="303A42"/>
          <w:sz w:val="22"/>
          <w:szCs w:val="22"/>
        </w:rPr>
        <w:t xml:space="preserve">Sponsorships / Events: % of brand budget (default 5%)</w:t>
      </w:r>
    </w:p>
    <w:p>
      <w:pPr>
        <w:spacing w:after="200"/>
      </w:pPr>
    </w:p>
    <w:p>
      <w:pPr>
        <w:spacing w:after="120"/>
      </w:pPr>
      <w:r>
        <w:rPr>
          <w:rFonts w:ascii="Libre Franklin" w:cs="Libre Franklin" w:eastAsia="Libre Franklin" w:hAnsi="Libre Franklin"/>
          <w:b/>
          <w:bCs/>
          <w:i/>
          <w:iCs/>
          <w:color w:val="303A42"/>
          <w:sz w:val="22"/>
          <w:szCs w:val="22"/>
        </w:rPr>
        <w:t xml:space="preserve">Performance Media (SEM) drill-in:</w:t>
      </w:r>
    </w:p>
    <w:p>
      <w:pPr>
        <w:pStyle w:val="ListParagraph"/>
        <w:numPr>
          <w:ilvl w:val="0"/>
          <w:numId w:val="3"/>
        </w:numPr>
        <w:spacing w:after="60"/>
      </w:pPr>
      <w:r>
        <w:rPr>
          <w:rFonts w:ascii="Libre Franklin" w:cs="Libre Franklin" w:eastAsia="Libre Franklin" w:hAnsi="Libre Franklin"/>
          <w:color w:val="303A42"/>
          <w:sz w:val="22"/>
          <w:szCs w:val="22"/>
        </w:rPr>
        <w:t xml:space="preserve">Branded search: % of SEM budget (default 30%)</w:t>
      </w:r>
    </w:p>
    <w:p>
      <w:pPr>
        <w:pStyle w:val="ListParagraph"/>
        <w:numPr>
          <w:ilvl w:val="0"/>
          <w:numId w:val="3"/>
        </w:numPr>
        <w:spacing w:after="60"/>
      </w:pPr>
      <w:r>
        <w:rPr>
          <w:rFonts w:ascii="Libre Franklin" w:cs="Libre Franklin" w:eastAsia="Libre Franklin" w:hAnsi="Libre Franklin"/>
          <w:color w:val="303A42"/>
          <w:sz w:val="22"/>
          <w:szCs w:val="22"/>
        </w:rPr>
        <w:t xml:space="preserve">Non-branded category terms: % of SEM budget (default 45%)</w:t>
      </w:r>
    </w:p>
    <w:p>
      <w:pPr>
        <w:pStyle w:val="ListParagraph"/>
        <w:numPr>
          <w:ilvl w:val="0"/>
          <w:numId w:val="3"/>
        </w:numPr>
        <w:spacing w:after="60"/>
      </w:pPr>
      <w:r>
        <w:rPr>
          <w:rFonts w:ascii="Libre Franklin" w:cs="Libre Franklin" w:eastAsia="Libre Franklin" w:hAnsi="Libre Franklin"/>
          <w:color w:val="303A42"/>
          <w:sz w:val="22"/>
          <w:szCs w:val="22"/>
        </w:rPr>
        <w:t xml:space="preserve">AI-powered / PMax campaigns: % of SEM budget (default 20%)</w:t>
      </w:r>
    </w:p>
    <w:p>
      <w:pPr>
        <w:pStyle w:val="ListParagraph"/>
        <w:numPr>
          <w:ilvl w:val="0"/>
          <w:numId w:val="3"/>
        </w:numPr>
        <w:spacing w:after="60"/>
      </w:pPr>
      <w:r>
        <w:rPr>
          <w:rFonts w:ascii="Libre Franklin" w:cs="Libre Franklin" w:eastAsia="Libre Franklin" w:hAnsi="Libre Franklin"/>
          <w:color w:val="303A42"/>
          <w:sz w:val="22"/>
          <w:szCs w:val="22"/>
        </w:rPr>
        <w:t xml:space="preserve">Competitor conquesting: % of SEM budget (default 5%)</w:t>
      </w:r>
    </w:p>
    <w:p>
      <w:pPr>
        <w:spacing w:after="200"/>
      </w:pPr>
    </w:p>
    <w:p>
      <w:pPr>
        <w:spacing w:after="120"/>
      </w:pPr>
      <w:r>
        <w:rPr>
          <w:rFonts w:ascii="Libre Franklin" w:cs="Libre Franklin" w:eastAsia="Libre Franklin" w:hAnsi="Libre Franklin"/>
          <w:b/>
          <w:bCs/>
          <w:i/>
          <w:iCs/>
          <w:color w:val="303A42"/>
          <w:sz w:val="22"/>
          <w:szCs w:val="22"/>
        </w:rPr>
        <w:t xml:space="preserve">Paid Social (Performance) drill-in:</w:t>
      </w:r>
    </w:p>
    <w:p>
      <w:pPr>
        <w:pStyle w:val="ListParagraph"/>
        <w:numPr>
          <w:ilvl w:val="0"/>
          <w:numId w:val="3"/>
        </w:numPr>
        <w:spacing w:after="60"/>
      </w:pPr>
      <w:r>
        <w:rPr>
          <w:rFonts w:ascii="Libre Franklin" w:cs="Libre Franklin" w:eastAsia="Libre Franklin" w:hAnsi="Libre Franklin"/>
          <w:color w:val="303A42"/>
          <w:sz w:val="22"/>
          <w:szCs w:val="22"/>
        </w:rPr>
        <w:t xml:space="preserve">Meta (Facebook/Instagram): % of social budget (default 70%)</w:t>
      </w:r>
    </w:p>
    <w:p>
      <w:pPr>
        <w:pStyle w:val="ListParagraph"/>
        <w:numPr>
          <w:ilvl w:val="0"/>
          <w:numId w:val="3"/>
        </w:numPr>
        <w:spacing w:after="60"/>
      </w:pPr>
      <w:r>
        <w:rPr>
          <w:rFonts w:ascii="Libre Franklin" w:cs="Libre Franklin" w:eastAsia="Libre Franklin" w:hAnsi="Libre Franklin"/>
          <w:color w:val="303A42"/>
          <w:sz w:val="22"/>
          <w:szCs w:val="22"/>
        </w:rPr>
        <w:t xml:space="preserve">TikTok: % of social budget (default 15%)</w:t>
      </w:r>
    </w:p>
    <w:p>
      <w:pPr>
        <w:pStyle w:val="ListParagraph"/>
        <w:numPr>
          <w:ilvl w:val="0"/>
          <w:numId w:val="3"/>
        </w:numPr>
        <w:spacing w:after="60"/>
      </w:pPr>
      <w:r>
        <w:rPr>
          <w:rFonts w:ascii="Libre Franklin" w:cs="Libre Franklin" w:eastAsia="Libre Franklin" w:hAnsi="Libre Franklin"/>
          <w:color w:val="303A42"/>
          <w:sz w:val="22"/>
          <w:szCs w:val="22"/>
        </w:rPr>
        <w:t xml:space="preserve">LinkedIn: % of social budget (default 10%)</w:t>
      </w:r>
    </w:p>
    <w:p>
      <w:pPr>
        <w:pStyle w:val="ListParagraph"/>
        <w:numPr>
          <w:ilvl w:val="0"/>
          <w:numId w:val="3"/>
        </w:numPr>
        <w:spacing w:after="60"/>
      </w:pPr>
      <w:r>
        <w:rPr>
          <w:rFonts w:ascii="Libre Franklin" w:cs="Libre Franklin" w:eastAsia="Libre Franklin" w:hAnsi="Libre Franklin"/>
          <w:color w:val="303A42"/>
          <w:sz w:val="22"/>
          <w:szCs w:val="22"/>
        </w:rPr>
        <w:t xml:space="preserve">Other platforms: % of social budget (default 5%)</w:t>
      </w:r>
    </w:p>
    <w:p>
      <w:pPr>
        <w:spacing w:after="200"/>
      </w:pPr>
    </w:p>
    <w:p>
      <w:pPr>
        <w:spacing w:after="120"/>
      </w:pPr>
      <w:r>
        <w:rPr>
          <w:rFonts w:ascii="Libre Franklin" w:cs="Libre Franklin" w:eastAsia="Libre Franklin" w:hAnsi="Libre Franklin"/>
          <w:b/>
          <w:bCs/>
          <w:i/>
          <w:iCs/>
          <w:color w:val="303A42"/>
          <w:sz w:val="22"/>
          <w:szCs w:val="22"/>
        </w:rPr>
        <w:t xml:space="preserve">High-Value Segment Overlay drill-in:</w:t>
      </w:r>
    </w:p>
    <w:p>
      <w:pPr>
        <w:pStyle w:val="ListParagraph"/>
        <w:numPr>
          <w:ilvl w:val="0"/>
          <w:numId w:val="3"/>
        </w:numPr>
        <w:spacing w:after="60"/>
      </w:pPr>
      <w:r>
        <w:rPr>
          <w:rFonts w:ascii="Libre Franklin" w:cs="Libre Franklin" w:eastAsia="Libre Franklin" w:hAnsi="Libre Franklin"/>
          <w:color w:val="303A42"/>
          <w:sz w:val="22"/>
          <w:szCs w:val="22"/>
        </w:rPr>
        <w:t xml:space="preserve">Life event campaigns (8 toggleable): % allocation per event</w:t>
      </w:r>
    </w:p>
    <w:p>
      <w:pPr>
        <w:pStyle w:val="ListParagraph"/>
        <w:numPr>
          <w:ilvl w:val="0"/>
          <w:numId w:val="3"/>
        </w:numPr>
        <w:spacing w:after="60"/>
      </w:pPr>
      <w:r>
        <w:rPr>
          <w:rFonts w:ascii="Libre Franklin" w:cs="Libre Franklin" w:eastAsia="Libre Franklin" w:hAnsi="Libre Franklin"/>
          <w:color w:val="303A42"/>
          <w:sz w:val="22"/>
          <w:szCs w:val="22"/>
        </w:rPr>
        <w:t xml:space="preserve">Mover marketing: budget and geographic scope</w:t>
      </w:r>
    </w:p>
    <w:p>
      <w:pPr>
        <w:pStyle w:val="ListParagraph"/>
        <w:numPr>
          <w:ilvl w:val="0"/>
          <w:numId w:val="3"/>
        </w:numPr>
        <w:spacing w:after="60"/>
      </w:pPr>
      <w:r>
        <w:rPr>
          <w:rFonts w:ascii="Libre Franklin" w:cs="Libre Franklin" w:eastAsia="Libre Franklin" w:hAnsi="Libre Franklin"/>
          <w:color w:val="303A42"/>
          <w:sz w:val="22"/>
          <w:szCs w:val="22"/>
        </w:rPr>
        <w:t xml:space="preserve">Affluent income threshold slider ($100K–$250K+ HHI)</w:t>
      </w:r>
    </w:p>
    <w:p>
      <w:pPr>
        <w:spacing w:after="200"/>
      </w:pPr>
    </w:p>
    <w:p>
      <w:pPr>
        <w:spacing w:after="120"/>
      </w:pPr>
      <w:r>
        <w:rPr>
          <w:rFonts w:ascii="Libre Franklin" w:cs="Libre Franklin" w:eastAsia="Libre Franklin" w:hAnsi="Libre Franklin"/>
          <w:b/>
          <w:bCs/>
          <w:i/>
          <w:iCs/>
          <w:color w:val="303A42"/>
          <w:sz w:val="22"/>
          <w:szCs w:val="22"/>
        </w:rPr>
        <w:t xml:space="preserve">SEO / AEO drill-in:</w:t>
      </w:r>
    </w:p>
    <w:p>
      <w:pPr>
        <w:pStyle w:val="ListParagraph"/>
        <w:numPr>
          <w:ilvl w:val="0"/>
          <w:numId w:val="3"/>
        </w:numPr>
        <w:spacing w:after="60"/>
      </w:pPr>
      <w:r>
        <w:rPr>
          <w:rFonts w:ascii="Libre Franklin" w:cs="Libre Franklin" w:eastAsia="Libre Franklin" w:hAnsi="Libre Franklin"/>
          <w:color w:val="303A42"/>
          <w:sz w:val="22"/>
          <w:szCs w:val="22"/>
        </w:rPr>
        <w:t xml:space="preserve">Traditional SEO (content + technical): % of organic budget (default 50%)</w:t>
      </w:r>
    </w:p>
    <w:p>
      <w:pPr>
        <w:pStyle w:val="ListParagraph"/>
        <w:numPr>
          <w:ilvl w:val="0"/>
          <w:numId w:val="3"/>
        </w:numPr>
        <w:spacing w:after="60"/>
      </w:pPr>
      <w:r>
        <w:rPr>
          <w:rFonts w:ascii="Libre Franklin" w:cs="Libre Franklin" w:eastAsia="Libre Franklin" w:hAnsi="Libre Franklin"/>
          <w:color w:val="303A42"/>
          <w:sz w:val="22"/>
          <w:szCs w:val="22"/>
        </w:rPr>
        <w:t xml:space="preserve">AEO / LLM optimization: % of organic budget (default 35%)</w:t>
      </w:r>
    </w:p>
    <w:p>
      <w:pPr>
        <w:pStyle w:val="ListParagraph"/>
        <w:numPr>
          <w:ilvl w:val="0"/>
          <w:numId w:val="3"/>
        </w:numPr>
        <w:spacing w:after="60"/>
      </w:pPr>
      <w:r>
        <w:rPr>
          <w:rFonts w:ascii="Libre Franklin" w:cs="Libre Franklin" w:eastAsia="Libre Franklin" w:hAnsi="Libre Franklin"/>
          <w:color w:val="303A42"/>
          <w:sz w:val="22"/>
          <w:szCs w:val="22"/>
        </w:rPr>
        <w:t xml:space="preserve">Local SEO / GBP: % of organic budget (default 15%)</w:t>
      </w:r>
    </w:p>
    <w:p>
      <w:pPr>
        <w:spacing w:after="200"/>
      </w:pPr>
    </w:p>
    <w:p>
      <w:pPr>
        <w:pStyle w:val="Heading2"/>
      </w:pPr>
      <w:r>
        <w:t xml:space="preserve">10.3 Input layer: Demand capture &amp; conversion assumptions</w:t>
      </w:r>
    </w:p>
    <w:p>
      <w:pPr>
        <w:spacing w:after="120"/>
      </w:pPr>
      <w:r>
        <w:rPr>
          <w:rFonts w:ascii="Libre Franklin" w:cs="Libre Franklin" w:eastAsia="Libre Franklin" w:hAnsi="Libre Franklin"/>
          <w:color w:val="303A42"/>
          <w:sz w:val="22"/>
          <w:szCs w:val="22"/>
        </w:rPr>
        <w:t xml:space="preserve">These parameters control how spend converts into volume at each funnel stage. In BD Mode, they default to industry benchmarks. In Client Mode, they auto-populate from live data but remain editable for scenario modeling.</w:t>
      </w:r>
    </w:p>
    <w:p>
      <w:pPr>
        <w:spacing w:after="200"/>
      </w:pPr>
    </w:p>
    <w:p>
      <w:pPr>
        <w:spacing w:after="120"/>
      </w:pPr>
      <w:r>
        <w:rPr>
          <w:rFonts w:ascii="Libre Franklin" w:cs="Libre Franklin" w:eastAsia="Libre Franklin" w:hAnsi="Libre Franklin"/>
          <w:b/>
          <w:bCs/>
          <w:color w:val="303A42"/>
          <w:sz w:val="22"/>
          <w:szCs w:val="22"/>
        </w:rPr>
        <w:t xml:space="preserve">Traffic generation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00"/>
        <w:gridCol w:w="2560"/>
      </w:tblGrid>
      <w:tr>
        <w:tc>
          <w:tcPr>
            <w:tcW w:type="dxa" w:w="28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Parameter</w:t>
            </w:r>
          </w:p>
        </w:tc>
        <w:tc>
          <w:tcPr>
            <w:tcW w:type="dxa" w:w="22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Industry Default</w:t>
            </w:r>
          </w:p>
        </w:tc>
        <w:tc>
          <w:tcPr>
            <w:tcW w:type="dxa" w:w="18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Top Performer</w:t>
            </w:r>
          </w:p>
        </w:tc>
        <w:tc>
          <w:tcPr>
            <w:tcW w:type="dxa" w:w="256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Input Type</w:t>
            </w:r>
          </w:p>
        </w:tc>
      </w:tr>
      <w:tr>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Brand media → Branded search lift</w:t>
            </w:r>
          </w:p>
        </w:tc>
        <w:tc>
          <w:tcPr>
            <w:tcW w:type="dxa" w:w="2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15–25% lift in branded queries</w:t>
            </w:r>
          </w:p>
        </w:tc>
        <w:tc>
          <w:tcPr>
            <w:tcW w:type="dxa" w:w="1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30–40% lift</w:t>
            </w:r>
          </w:p>
        </w:tc>
        <w:tc>
          <w:tcPr>
            <w:tcW w:type="dxa" w:w="2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 slider</w:t>
            </w:r>
          </w:p>
        </w:tc>
      </w:tr>
      <w:tr>
        <w:tc>
          <w:tcPr>
            <w:tcW w:type="dxa" w:w="2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SEM average CPC (branded)</w:t>
            </w:r>
          </w:p>
        </w:tc>
        <w:tc>
          <w:tcPr>
            <w:tcW w:type="dxa" w:w="2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$0.50–$2.00</w:t>
            </w:r>
          </w:p>
        </w:tc>
        <w:tc>
          <w:tcPr>
            <w:tcW w:type="dxa" w:w="1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$0.30–$1.00</w:t>
            </w:r>
          </w:p>
        </w:tc>
        <w:tc>
          <w:tcPr>
            <w:tcW w:type="dxa" w:w="2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Dollar input</w:t>
            </w:r>
          </w:p>
        </w:tc>
      </w:tr>
      <w:tr>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SEM average CPC (non-branded)</w:t>
            </w:r>
          </w:p>
        </w:tc>
        <w:tc>
          <w:tcPr>
            <w:tcW w:type="dxa" w:w="2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$3.46</w:t>
            </w:r>
          </w:p>
        </w:tc>
        <w:tc>
          <w:tcPr>
            <w:tcW w:type="dxa" w:w="1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$2.50</w:t>
            </w:r>
          </w:p>
        </w:tc>
        <w:tc>
          <w:tcPr>
            <w:tcW w:type="dxa" w:w="2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Dollar input</w:t>
            </w:r>
          </w:p>
        </w:tc>
      </w:tr>
      <w:tr>
        <w:tc>
          <w:tcPr>
            <w:tcW w:type="dxa" w:w="2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SEM CTR</w:t>
            </w:r>
          </w:p>
        </w:tc>
        <w:tc>
          <w:tcPr>
            <w:tcW w:type="dxa" w:w="2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8.3%</w:t>
            </w:r>
          </w:p>
        </w:tc>
        <w:tc>
          <w:tcPr>
            <w:tcW w:type="dxa" w:w="1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12%+</w:t>
            </w:r>
          </w:p>
        </w:tc>
        <w:tc>
          <w:tcPr>
            <w:tcW w:type="dxa" w:w="2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 slider</w:t>
            </w:r>
          </w:p>
        </w:tc>
      </w:tr>
      <w:tr>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Paid social CPL (native forms)</w:t>
            </w:r>
          </w:p>
        </w:tc>
        <w:tc>
          <w:tcPr>
            <w:tcW w:type="dxa" w:w="2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$50–$80</w:t>
            </w:r>
          </w:p>
        </w:tc>
        <w:tc>
          <w:tcPr>
            <w:tcW w:type="dxa" w:w="1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$30–$50</w:t>
            </w:r>
          </w:p>
        </w:tc>
        <w:tc>
          <w:tcPr>
            <w:tcW w:type="dxa" w:w="2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Dollar input</w:t>
            </w:r>
          </w:p>
        </w:tc>
      </w:tr>
      <w:tr>
        <w:tc>
          <w:tcPr>
            <w:tcW w:type="dxa" w:w="2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Paid social CPL (landing page)</w:t>
            </w:r>
          </w:p>
        </w:tc>
        <w:tc>
          <w:tcPr>
            <w:tcW w:type="dxa" w:w="2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$80–$120</w:t>
            </w:r>
          </w:p>
        </w:tc>
        <w:tc>
          <w:tcPr>
            <w:tcW w:type="dxa" w:w="1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$60–$80</w:t>
            </w:r>
          </w:p>
        </w:tc>
        <w:tc>
          <w:tcPr>
            <w:tcW w:type="dxa" w:w="2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Dollar input</w:t>
            </w:r>
          </w:p>
        </w:tc>
      </w:tr>
      <w:tr>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Organic traffic share (as % of total)</w:t>
            </w:r>
          </w:p>
        </w:tc>
        <w:tc>
          <w:tcPr>
            <w:tcW w:type="dxa" w:w="2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30–45%</w:t>
            </w:r>
          </w:p>
        </w:tc>
        <w:tc>
          <w:tcPr>
            <w:tcW w:type="dxa" w:w="1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50%+</w:t>
            </w:r>
          </w:p>
        </w:tc>
        <w:tc>
          <w:tcPr>
            <w:tcW w:type="dxa" w:w="2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 slider</w:t>
            </w:r>
          </w:p>
        </w:tc>
      </w:tr>
      <w:tr>
        <w:tc>
          <w:tcPr>
            <w:tcW w:type="dxa" w:w="2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AEO-attributed traffic share</w:t>
            </w:r>
          </w:p>
        </w:tc>
        <w:tc>
          <w:tcPr>
            <w:tcW w:type="dxa" w:w="2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2–5% (emerging)</w:t>
            </w:r>
          </w:p>
        </w:tc>
        <w:tc>
          <w:tcPr>
            <w:tcW w:type="dxa" w:w="1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8–10%</w:t>
            </w:r>
          </w:p>
        </w:tc>
        <w:tc>
          <w:tcPr>
            <w:tcW w:type="dxa" w:w="2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 slider</w:t>
            </w:r>
          </w:p>
        </w:tc>
      </w:tr>
      <w:tr>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Life event campaign CVR multiplier</w:t>
            </w:r>
          </w:p>
        </w:tc>
        <w:tc>
          <w:tcPr>
            <w:tcW w:type="dxa" w:w="2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2–3x vs. mass market</w:t>
            </w:r>
          </w:p>
        </w:tc>
        <w:tc>
          <w:tcPr>
            <w:tcW w:type="dxa" w:w="1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3–4x</w:t>
            </w:r>
          </w:p>
        </w:tc>
        <w:tc>
          <w:tcPr>
            <w:tcW w:type="dxa" w:w="2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Multiplier slider</w:t>
            </w:r>
          </w:p>
        </w:tc>
      </w:tr>
      <w:tr>
        <w:tc>
          <w:tcPr>
            <w:tcW w:type="dxa" w:w="2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Mover propensity multiplier</w:t>
            </w:r>
          </w:p>
        </w:tc>
        <w:tc>
          <w:tcPr>
            <w:tcW w:type="dxa" w:w="2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3–5x</w:t>
            </w:r>
          </w:p>
        </w:tc>
        <w:tc>
          <w:tcPr>
            <w:tcW w:type="dxa" w:w="1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5–7x</w:t>
            </w:r>
          </w:p>
        </w:tc>
        <w:tc>
          <w:tcPr>
            <w:tcW w:type="dxa" w:w="2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Multiplier slider</w:t>
            </w:r>
          </w:p>
        </w:tc>
      </w:tr>
    </w:tbl>
    <w:p>
      <w:pPr>
        <w:spacing w:after="200"/>
      </w:pPr>
    </w:p>
    <w:p>
      <w:pPr>
        <w:spacing w:after="120"/>
      </w:pPr>
      <w:r>
        <w:rPr>
          <w:rFonts w:ascii="Libre Franklin" w:cs="Libre Franklin" w:eastAsia="Libre Franklin" w:hAnsi="Libre Franklin"/>
          <w:b/>
          <w:bCs/>
          <w:color w:val="303A42"/>
          <w:sz w:val="22"/>
          <w:szCs w:val="22"/>
        </w:rPr>
        <w:t xml:space="preserve">Funnel conversion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00"/>
        <w:gridCol w:w="2560"/>
      </w:tblGrid>
      <w:tr>
        <w:tc>
          <w:tcPr>
            <w:tcW w:type="dxa" w:w="28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Stage</w:t>
            </w:r>
          </w:p>
        </w:tc>
        <w:tc>
          <w:tcPr>
            <w:tcW w:type="dxa" w:w="22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Industry Default</w:t>
            </w:r>
          </w:p>
        </w:tc>
        <w:tc>
          <w:tcPr>
            <w:tcW w:type="dxa" w:w="18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Top Performer</w:t>
            </w:r>
          </w:p>
        </w:tc>
        <w:tc>
          <w:tcPr>
            <w:tcW w:type="dxa" w:w="256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Input Type</w:t>
            </w:r>
          </w:p>
        </w:tc>
      </w:tr>
      <w:tr>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Page visit → Application start</w:t>
            </w:r>
          </w:p>
        </w:tc>
        <w:tc>
          <w:tcPr>
            <w:tcW w:type="dxa" w:w="2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55%</w:t>
            </w:r>
          </w:p>
        </w:tc>
        <w:tc>
          <w:tcPr>
            <w:tcW w:type="dxa" w:w="1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65%</w:t>
            </w:r>
          </w:p>
        </w:tc>
        <w:tc>
          <w:tcPr>
            <w:tcW w:type="dxa" w:w="2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 slider</w:t>
            </w:r>
          </w:p>
        </w:tc>
      </w:tr>
      <w:tr>
        <w:tc>
          <w:tcPr>
            <w:tcW w:type="dxa" w:w="2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Application start → Form complete</w:t>
            </w:r>
          </w:p>
        </w:tc>
        <w:tc>
          <w:tcPr>
            <w:tcW w:type="dxa" w:w="2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65%</w:t>
            </w:r>
          </w:p>
        </w:tc>
        <w:tc>
          <w:tcPr>
            <w:tcW w:type="dxa" w:w="1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75%</w:t>
            </w:r>
          </w:p>
        </w:tc>
        <w:tc>
          <w:tcPr>
            <w:tcW w:type="dxa" w:w="2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 slider</w:t>
            </w:r>
          </w:p>
        </w:tc>
      </w:tr>
      <w:tr>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Form complete → KYC pass</w:t>
            </w:r>
          </w:p>
        </w:tc>
        <w:tc>
          <w:tcPr>
            <w:tcW w:type="dxa" w:w="2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75%</w:t>
            </w:r>
          </w:p>
        </w:tc>
        <w:tc>
          <w:tcPr>
            <w:tcW w:type="dxa" w:w="1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85%</w:t>
            </w:r>
          </w:p>
        </w:tc>
        <w:tc>
          <w:tcPr>
            <w:tcW w:type="dxa" w:w="2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 slider</w:t>
            </w:r>
          </w:p>
        </w:tc>
      </w:tr>
      <w:tr>
        <w:tc>
          <w:tcPr>
            <w:tcW w:type="dxa" w:w="2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KYC pass → Approval</w:t>
            </w:r>
          </w:p>
        </w:tc>
        <w:tc>
          <w:tcPr>
            <w:tcW w:type="dxa" w:w="2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85%</w:t>
            </w:r>
          </w:p>
        </w:tc>
        <w:tc>
          <w:tcPr>
            <w:tcW w:type="dxa" w:w="1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90%</w:t>
            </w:r>
          </w:p>
        </w:tc>
        <w:tc>
          <w:tcPr>
            <w:tcW w:type="dxa" w:w="2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 slider</w:t>
            </w:r>
          </w:p>
        </w:tc>
      </w:tr>
      <w:tr>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Approval → Funded</w:t>
            </w:r>
          </w:p>
        </w:tc>
        <w:tc>
          <w:tcPr>
            <w:tcW w:type="dxa" w:w="2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73%</w:t>
            </w:r>
          </w:p>
        </w:tc>
        <w:tc>
          <w:tcPr>
            <w:tcW w:type="dxa" w:w="1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87%</w:t>
            </w:r>
          </w:p>
        </w:tc>
        <w:tc>
          <w:tcPr>
            <w:tcW w:type="dxa" w:w="2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 slider</w:t>
            </w:r>
          </w:p>
        </w:tc>
      </w:tr>
      <w:tr>
        <w:tc>
          <w:tcPr>
            <w:tcW w:type="dxa" w:w="2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Funded → Active (90 days)</w:t>
            </w:r>
          </w:p>
        </w:tc>
        <w:tc>
          <w:tcPr>
            <w:tcW w:type="dxa" w:w="2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70%</w:t>
            </w:r>
          </w:p>
        </w:tc>
        <w:tc>
          <w:tcPr>
            <w:tcW w:type="dxa" w:w="1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85%</w:t>
            </w:r>
          </w:p>
        </w:tc>
        <w:tc>
          <w:tcPr>
            <w:tcW w:type="dxa" w:w="2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 slider</w:t>
            </w:r>
          </w:p>
        </w:tc>
      </w:tr>
    </w:tbl>
    <w:p>
      <w:pPr>
        <w:spacing w:after="200"/>
      </w:pPr>
    </w:p>
    <w:p>
      <w:pPr>
        <w:spacing w:after="120"/>
      </w:pPr>
      <w:r>
        <w:rPr>
          <w:rFonts w:ascii="Libre Franklin" w:cs="Libre Franklin" w:eastAsia="Libre Franklin" w:hAnsi="Libre Franklin"/>
          <w:b/>
          <w:bCs/>
          <w:color w:val="303A42"/>
          <w:sz w:val="22"/>
          <w:szCs w:val="22"/>
        </w:rPr>
        <w:t xml:space="preserve">Post-acquisition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00"/>
        <w:gridCol w:w="2560"/>
      </w:tblGrid>
      <w:tr>
        <w:tc>
          <w:tcPr>
            <w:tcW w:type="dxa" w:w="28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Parameter</w:t>
            </w:r>
          </w:p>
        </w:tc>
        <w:tc>
          <w:tcPr>
            <w:tcW w:type="dxa" w:w="22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Industry Default</w:t>
            </w:r>
          </w:p>
        </w:tc>
        <w:tc>
          <w:tcPr>
            <w:tcW w:type="dxa" w:w="18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Top Performer</w:t>
            </w:r>
          </w:p>
        </w:tc>
        <w:tc>
          <w:tcPr>
            <w:tcW w:type="dxa" w:w="256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Input Type</w:t>
            </w:r>
          </w:p>
        </w:tc>
      </w:tr>
      <w:tr>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MOB6 retention rate</w:t>
            </w:r>
          </w:p>
        </w:tc>
        <w:tc>
          <w:tcPr>
            <w:tcW w:type="dxa" w:w="2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70–75%</w:t>
            </w:r>
          </w:p>
        </w:tc>
        <w:tc>
          <w:tcPr>
            <w:tcW w:type="dxa" w:w="1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80–85%</w:t>
            </w:r>
          </w:p>
        </w:tc>
        <w:tc>
          <w:tcPr>
            <w:tcW w:type="dxa" w:w="2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 slider</w:t>
            </w:r>
          </w:p>
        </w:tc>
      </w:tr>
      <w:tr>
        <w:tc>
          <w:tcPr>
            <w:tcW w:type="dxa" w:w="2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MOB12 retention rate</w:t>
            </w:r>
          </w:p>
        </w:tc>
        <w:tc>
          <w:tcPr>
            <w:tcW w:type="dxa" w:w="2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65–70%</w:t>
            </w:r>
          </w:p>
        </w:tc>
        <w:tc>
          <w:tcPr>
            <w:tcW w:type="dxa" w:w="1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75–80%</w:t>
            </w:r>
          </w:p>
        </w:tc>
        <w:tc>
          <w:tcPr>
            <w:tcW w:type="dxa" w:w="2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 slider</w:t>
            </w:r>
          </w:p>
        </w:tc>
      </w:tr>
      <w:tr>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Average LTV per retained checking HH</w:t>
            </w:r>
          </w:p>
        </w:tc>
        <w:tc>
          <w:tcPr>
            <w:tcW w:type="dxa" w:w="2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$2,500</w:t>
            </w:r>
          </w:p>
        </w:tc>
        <w:tc>
          <w:tcPr>
            <w:tcW w:type="dxa" w:w="1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$3,500</w:t>
            </w:r>
          </w:p>
        </w:tc>
        <w:tc>
          <w:tcPr>
            <w:tcW w:type="dxa" w:w="2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Dollar input</w:t>
            </w:r>
          </w:p>
        </w:tc>
      </w:tr>
      <w:tr>
        <w:tc>
          <w:tcPr>
            <w:tcW w:type="dxa" w:w="2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PFI conversion rate (direct deposit)</w:t>
            </w:r>
          </w:p>
        </w:tc>
        <w:tc>
          <w:tcPr>
            <w:tcW w:type="dxa" w:w="2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35–45%</w:t>
            </w:r>
          </w:p>
        </w:tc>
        <w:tc>
          <w:tcPr>
            <w:tcW w:type="dxa" w:w="1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55–65%</w:t>
            </w:r>
          </w:p>
        </w:tc>
        <w:tc>
          <w:tcPr>
            <w:tcW w:type="dxa" w:w="2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 slider</w:t>
            </w:r>
          </w:p>
        </w:tc>
      </w:tr>
      <w:tr>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Cross-sell acceptance rate</w:t>
            </w:r>
          </w:p>
        </w:tc>
        <w:tc>
          <w:tcPr>
            <w:tcW w:type="dxa" w:w="2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15–20%</w:t>
            </w:r>
          </w:p>
        </w:tc>
        <w:tc>
          <w:tcPr>
            <w:tcW w:type="dxa" w:w="1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25–30%</w:t>
            </w:r>
          </w:p>
        </w:tc>
        <w:tc>
          <w:tcPr>
            <w:tcW w:type="dxa" w:w="2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 slider</w:t>
            </w:r>
          </w:p>
        </w:tc>
      </w:tr>
      <w:tr>
        <w:tc>
          <w:tcPr>
            <w:tcW w:type="dxa" w:w="2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LTV multiplier for PFI households</w:t>
            </w:r>
          </w:p>
        </w:tc>
        <w:tc>
          <w:tcPr>
            <w:tcW w:type="dxa" w:w="2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3–5x vs. non-PFI</w:t>
            </w:r>
          </w:p>
        </w:tc>
        <w:tc>
          <w:tcPr>
            <w:tcW w:type="dxa" w:w="1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5–7x</w:t>
            </w:r>
          </w:p>
        </w:tc>
        <w:tc>
          <w:tcPr>
            <w:tcW w:type="dxa" w:w="2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Multiplier slider</w:t>
            </w:r>
          </w:p>
        </w:tc>
      </w:tr>
    </w:tbl>
    <w:p>
      <w:pPr>
        <w:spacing w:after="200"/>
      </w:pPr>
    </w:p>
    <w:p>
      <w:pPr>
        <w:pStyle w:val="Heading2"/>
      </w:pPr>
      <w:r>
        <w:t xml:space="preserve">10.4 Input layer: Institution profile (BD Mode)</w:t>
      </w:r>
    </w:p>
    <w:p>
      <w:pPr>
        <w:spacing w:after="120"/>
      </w:pPr>
      <w:r>
        <w:rPr>
          <w:rFonts w:ascii="Libre Franklin" w:cs="Libre Franklin" w:eastAsia="Libre Franklin" w:hAnsi="Libre Franklin"/>
          <w:color w:val="303A42"/>
          <w:sz w:val="22"/>
          <w:szCs w:val="22"/>
        </w:rPr>
        <w:t xml:space="preserve">In BD Mode, the user inputs basic facts about the prospect to seed the model. These are the fields that make the simulator feel tailored to the prospect rather than generic:</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Field</w:t>
            </w:r>
          </w:p>
        </w:tc>
        <w:tc>
          <w:tcPr>
            <w:tcW w:type="dxa" w:w="16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Input Type</w:t>
            </w:r>
          </w:p>
        </w:tc>
        <w:tc>
          <w:tcPr>
            <w:tcW w:type="dxa" w:w="496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Purpose</w:t>
            </w:r>
          </w:p>
        </w:tc>
      </w:tr>
      <w:tr>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Institution name</w:t>
            </w:r>
          </w:p>
        </w:tc>
        <w:tc>
          <w:tcPr>
            <w:tcW w:type="dxa" w:w="16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Text</w:t>
            </w:r>
          </w:p>
        </w:tc>
        <w:tc>
          <w:tcPr>
            <w:tcW w:type="dxa" w:w="49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Branding on output</w:t>
            </w:r>
          </w:p>
        </w:tc>
      </w:tr>
      <w:tr>
        <w:tc>
          <w:tcPr>
            <w:tcW w:type="dxa" w:w="2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Total branch count</w:t>
            </w:r>
          </w:p>
        </w:tc>
        <w:tc>
          <w:tcPr>
            <w:tcW w:type="dxa" w:w="16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Number</w:t>
            </w:r>
          </w:p>
        </w:tc>
        <w:tc>
          <w:tcPr>
            <w:tcW w:type="dxa" w:w="49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Seeds market framework and organic traffic estimate</w:t>
            </w:r>
          </w:p>
        </w:tc>
      </w:tr>
      <w:tr>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Number of DMAs / markets</w:t>
            </w:r>
          </w:p>
        </w:tc>
        <w:tc>
          <w:tcPr>
            <w:tcW w:type="dxa" w:w="16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Number</w:t>
            </w:r>
          </w:p>
        </w:tc>
        <w:tc>
          <w:tcPr>
            <w:tcW w:type="dxa" w:w="49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Determines geographic spread and media efficiency</w:t>
            </w:r>
          </w:p>
        </w:tc>
      </w:tr>
      <w:tr>
        <w:tc>
          <w:tcPr>
            <w:tcW w:type="dxa" w:w="2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Current annual media spend (estimated)</w:t>
            </w:r>
          </w:p>
        </w:tc>
        <w:tc>
          <w:tcPr>
            <w:tcW w:type="dxa" w:w="16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Dollar</w:t>
            </w:r>
          </w:p>
        </w:tc>
        <w:tc>
          <w:tcPr>
            <w:tcW w:type="dxa" w:w="49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Baseline for reallocation scenarios</w:t>
            </w:r>
          </w:p>
        </w:tc>
      </w:tr>
      <w:tr>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Current digital account opening volume (estimated)</w:t>
            </w:r>
          </w:p>
        </w:tc>
        <w:tc>
          <w:tcPr>
            <w:tcW w:type="dxa" w:w="16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Number</w:t>
            </w:r>
          </w:p>
        </w:tc>
        <w:tc>
          <w:tcPr>
            <w:tcW w:type="dxa" w:w="49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Establishes starting conversion baseline</w:t>
            </w:r>
          </w:p>
        </w:tc>
      </w:tr>
      <w:tr>
        <w:tc>
          <w:tcPr>
            <w:tcW w:type="dxa" w:w="2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Current estimated retention rate</w:t>
            </w:r>
          </w:p>
        </w:tc>
        <w:tc>
          <w:tcPr>
            <w:tcW w:type="dxa" w:w="16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 slider</w:t>
            </w:r>
          </w:p>
        </w:tc>
        <w:tc>
          <w:tcPr>
            <w:tcW w:type="dxa" w:w="49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Starting point for retention modeling</w:t>
            </w:r>
          </w:p>
        </w:tc>
      </w:tr>
      <w:tr>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Primary growth objective</w:t>
            </w:r>
          </w:p>
        </w:tc>
        <w:tc>
          <w:tcPr>
            <w:tcW w:type="dxa" w:w="16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Dropdown: HH Growth / Deposit Growth / Lending / Full Relationship</w:t>
            </w:r>
          </w:p>
        </w:tc>
        <w:tc>
          <w:tcPr>
            <w:tcW w:type="dxa" w:w="49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Weights the model toward relevant products</w:t>
            </w:r>
          </w:p>
        </w:tc>
      </w:tr>
      <w:tr>
        <w:tc>
          <w:tcPr>
            <w:tcW w:type="dxa" w:w="2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Competitive position</w:t>
            </w:r>
          </w:p>
        </w:tc>
        <w:tc>
          <w:tcPr>
            <w:tcW w:type="dxa" w:w="16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Dropdown: Market Leader / Challenger / New Entrant</w:t>
            </w:r>
          </w:p>
        </w:tc>
        <w:tc>
          <w:tcPr>
            <w:tcW w:type="dxa" w:w="49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Adjusts benchmark assumptions</w:t>
            </w:r>
          </w:p>
        </w:tc>
      </w:tr>
    </w:tbl>
    <w:p>
      <w:pPr>
        <w:spacing w:after="200"/>
      </w:pPr>
    </w:p>
    <w:p>
      <w:pPr>
        <w:pStyle w:val="Heading2"/>
      </w:pPr>
      <w:r>
        <w:t xml:space="preserve">10.5 Simulation engine: Calculation model</w:t>
      </w:r>
    </w:p>
    <w:p>
      <w:pPr>
        <w:spacing w:after="120"/>
      </w:pPr>
      <w:r>
        <w:rPr>
          <w:rFonts w:ascii="Libre Franklin" w:cs="Libre Franklin" w:eastAsia="Libre Franklin" w:hAnsi="Libre Franklin"/>
          <w:color w:val="303A42"/>
          <w:sz w:val="22"/>
          <w:szCs w:val="22"/>
        </w:rPr>
        <w:t xml:space="preserve">The simulation engine processes inputs through a five-stage waterfall:</w:t>
      </w:r>
    </w:p>
    <w:p>
      <w:pPr>
        <w:spacing w:after="200"/>
      </w:pPr>
    </w:p>
    <w:p>
      <w:pPr>
        <w:spacing w:after="120"/>
      </w:pPr>
      <w:r>
        <w:rPr>
          <w:rFonts w:ascii="Libre Franklin" w:cs="Libre Franklin" w:eastAsia="Libre Franklin" w:hAnsi="Libre Franklin"/>
          <w:b/>
          <w:bCs/>
          <w:color w:val="303A42"/>
          <w:sz w:val="22"/>
          <w:szCs w:val="22"/>
        </w:rPr>
        <w:t xml:space="preserve">Stage 1: Traffic generation</w:t>
      </w:r>
    </w:p>
    <w:p>
      <w:pPr>
        <w:spacing w:after="120"/>
      </w:pPr>
      <w:r>
        <w:rPr>
          <w:rFonts w:ascii="Libre Franklin" w:cs="Libre Franklin" w:eastAsia="Libre Franklin" w:hAnsi="Libre Franklin"/>
          <w:color w:val="303A42"/>
          <w:sz w:val="22"/>
          <w:szCs w:val="22"/>
        </w:rPr>
        <w:t xml:space="preserve">Each spend bucket generates estimated traffic volume based on its CPL/CPC assumptions. Brand media generates indirect traffic via branded search lift (applied as a multiplier to the SEM branded budget’s expected volume). Organic traffic is modeled as a percentage of total, independent of paid spend but influenced by SEO/AEO investment.</w:t>
      </w:r>
    </w:p>
    <w:p>
      <w:pPr>
        <w:spacing w:after="200"/>
      </w:pPr>
    </w:p>
    <w:p>
      <w:pPr>
        <w:spacing w:after="120"/>
      </w:pPr>
      <w:r>
        <w:rPr>
          <w:rFonts w:ascii="Libre Franklin" w:cs="Libre Franklin" w:eastAsia="Libre Franklin" w:hAnsi="Libre Franklin"/>
          <w:b/>
          <w:bCs/>
          <w:color w:val="303A42"/>
          <w:sz w:val="22"/>
          <w:szCs w:val="22"/>
        </w:rPr>
        <w:t xml:space="preserve">Stage 2: Funnel conversion</w:t>
      </w:r>
    </w:p>
    <w:p>
      <w:pPr>
        <w:spacing w:after="120"/>
      </w:pPr>
      <w:r>
        <w:rPr>
          <w:rFonts w:ascii="Libre Franklin" w:cs="Libre Franklin" w:eastAsia="Libre Franklin" w:hAnsi="Libre Franklin"/>
          <w:color w:val="303A42"/>
          <w:sz w:val="22"/>
          <w:szCs w:val="22"/>
        </w:rPr>
        <w:t xml:space="preserve">Total traffic flows through the six-stage funnel. Each stage applies its conversion rate, producing a volume waterfall from page visits down to funded accounts. Drop-off at each stage is quantified in both volume and estimated dollar impact.</w:t>
      </w:r>
    </w:p>
    <w:p>
      <w:pPr>
        <w:spacing w:after="200"/>
      </w:pPr>
    </w:p>
    <w:p>
      <w:pPr>
        <w:spacing w:after="120"/>
      </w:pPr>
      <w:r>
        <w:rPr>
          <w:rFonts w:ascii="Libre Franklin" w:cs="Libre Franklin" w:eastAsia="Libre Franklin" w:hAnsi="Libre Franklin"/>
          <w:b/>
          <w:bCs/>
          <w:color w:val="303A42"/>
          <w:sz w:val="22"/>
          <w:szCs w:val="22"/>
        </w:rPr>
        <w:t xml:space="preserve">Stage 3: Retention &amp; activation</w:t>
      </w:r>
    </w:p>
    <w:p>
      <w:pPr>
        <w:spacing w:after="120"/>
      </w:pPr>
      <w:r>
        <w:rPr>
          <w:rFonts w:ascii="Libre Franklin" w:cs="Libre Franklin" w:eastAsia="Libre Franklin" w:hAnsi="Libre Franklin"/>
          <w:color w:val="303A42"/>
          <w:sz w:val="22"/>
          <w:szCs w:val="22"/>
        </w:rPr>
        <w:t xml:space="preserve">Funded accounts pass through the retention model. MOB6 and MOB12 rates are applied to produce retained household counts. PFI conversion rate determines the proportion of retained HHs that become primary banking relationships.</w:t>
      </w:r>
    </w:p>
    <w:p>
      <w:pPr>
        <w:spacing w:after="200"/>
      </w:pPr>
    </w:p>
    <w:p>
      <w:pPr>
        <w:spacing w:after="120"/>
      </w:pPr>
      <w:r>
        <w:rPr>
          <w:rFonts w:ascii="Libre Franklin" w:cs="Libre Franklin" w:eastAsia="Libre Franklin" w:hAnsi="Libre Franklin"/>
          <w:b/>
          <w:bCs/>
          <w:color w:val="303A42"/>
          <w:sz w:val="22"/>
          <w:szCs w:val="22"/>
        </w:rPr>
        <w:t xml:space="preserve">Stage 4: LTV projection</w:t>
      </w:r>
    </w:p>
    <w:p>
      <w:pPr>
        <w:spacing w:after="120"/>
      </w:pPr>
      <w:r>
        <w:rPr>
          <w:rFonts w:ascii="Libre Franklin" w:cs="Libre Franklin" w:eastAsia="Libre Franklin" w:hAnsi="Libre Franklin"/>
          <w:color w:val="303A42"/>
          <w:sz w:val="22"/>
          <w:szCs w:val="22"/>
        </w:rPr>
        <w:t xml:space="preserve">Retained HHs are multiplied by the configured LTV. PFI households receive the LTV multiplier (3–5x). The output is total projected portfolio value from one year of acquisition at the specified spend level.</w:t>
      </w:r>
    </w:p>
    <w:p>
      <w:pPr>
        <w:spacing w:after="200"/>
      </w:pPr>
    </w:p>
    <w:p>
      <w:pPr>
        <w:spacing w:after="120"/>
      </w:pPr>
      <w:r>
        <w:rPr>
          <w:rFonts w:ascii="Libre Franklin" w:cs="Libre Franklin" w:eastAsia="Libre Franklin" w:hAnsi="Libre Franklin"/>
          <w:b/>
          <w:bCs/>
          <w:color w:val="303A42"/>
          <w:sz w:val="22"/>
          <w:szCs w:val="22"/>
        </w:rPr>
        <w:t xml:space="preserve">Stage 5: Efficiency metrics</w:t>
      </w:r>
    </w:p>
    <w:p>
      <w:pPr>
        <w:spacing w:after="120"/>
      </w:pPr>
      <w:r>
        <w:rPr>
          <w:rFonts w:ascii="Libre Franklin" w:cs="Libre Franklin" w:eastAsia="Libre Franklin" w:hAnsi="Libre Franklin"/>
          <w:color w:val="303A42"/>
          <w:sz w:val="22"/>
          <w:szCs w:val="22"/>
        </w:rPr>
        <w:t xml:space="preserve">The engine calculates derived metrics: CPIHH (total spend / retained HHs), ROI ratio (projected LTV / total spend), payback period (months until LTV exceeds media investment), and a blended CPL across all channels.</w:t>
      </w:r>
    </w:p>
    <w:p>
      <w:pPr>
        <w:spacing w:after="200"/>
      </w:pPr>
    </w:p>
    <w:p>
      <w:pPr>
        <w:pStyle w:val="Heading2"/>
      </w:pPr>
      <w:r>
        <w:t xml:space="preserve">10.6 Output layer: Simulation results</w:t>
      </w:r>
    </w:p>
    <w:p>
      <w:pPr>
        <w:spacing w:after="120"/>
      </w:pPr>
      <w:r>
        <w:rPr>
          <w:rFonts w:ascii="Libre Franklin" w:cs="Libre Franklin" w:eastAsia="Libre Franklin" w:hAnsi="Libre Franklin"/>
          <w:color w:val="303A42"/>
          <w:sz w:val="22"/>
          <w:szCs w:val="22"/>
        </w:rPr>
        <w:t xml:space="preserve">Results are displayed on-screen in an interactive dashboard view. No export required — the view is designed for live walkthroughs in BD meetings and planning sessions.</w:t>
      </w:r>
    </w:p>
    <w:p>
      <w:pPr>
        <w:spacing w:after="200"/>
      </w:pPr>
    </w:p>
    <w:p>
      <w:pPr>
        <w:spacing w:after="120"/>
      </w:pPr>
      <w:r>
        <w:rPr>
          <w:rFonts w:ascii="Libre Franklin" w:cs="Libre Franklin" w:eastAsia="Libre Franklin" w:hAnsi="Libre Franklin"/>
          <w:b/>
          <w:bCs/>
          <w:color w:val="303A42"/>
          <w:sz w:val="22"/>
          <w:szCs w:val="22"/>
        </w:rPr>
        <w:t xml:space="preserve">Panel 1 — Headline metrics (summary cards):</w:t>
      </w:r>
    </w:p>
    <w:p>
      <w:pPr>
        <w:pStyle w:val="ListParagraph"/>
        <w:numPr>
          <w:ilvl w:val="0"/>
          <w:numId w:val="3"/>
        </w:numPr>
        <w:spacing w:after="60"/>
      </w:pPr>
      <w:r>
        <w:rPr>
          <w:rFonts w:ascii="Libre Franklin" w:cs="Libre Franklin" w:eastAsia="Libre Franklin" w:hAnsi="Libre Franklin"/>
          <w:color w:val="303A42"/>
          <w:sz w:val="22"/>
          <w:szCs w:val="22"/>
        </w:rPr>
        <w:t xml:space="preserve">Total annual media spend</w:t>
      </w:r>
    </w:p>
    <w:p>
      <w:pPr>
        <w:pStyle w:val="ListParagraph"/>
        <w:numPr>
          <w:ilvl w:val="0"/>
          <w:numId w:val="3"/>
        </w:numPr>
        <w:spacing w:after="60"/>
      </w:pPr>
      <w:r>
        <w:rPr>
          <w:rFonts w:ascii="Libre Franklin" w:cs="Libre Franklin" w:eastAsia="Libre Franklin" w:hAnsi="Libre Franklin"/>
          <w:color w:val="303A42"/>
          <w:sz w:val="22"/>
          <w:szCs w:val="22"/>
        </w:rPr>
        <w:t xml:space="preserve">Projected funded accounts</w:t>
      </w:r>
    </w:p>
    <w:p>
      <w:pPr>
        <w:pStyle w:val="ListParagraph"/>
        <w:numPr>
          <w:ilvl w:val="0"/>
          <w:numId w:val="3"/>
        </w:numPr>
        <w:spacing w:after="60"/>
      </w:pPr>
      <w:r>
        <w:rPr>
          <w:rFonts w:ascii="Libre Franklin" w:cs="Libre Franklin" w:eastAsia="Libre Franklin" w:hAnsi="Libre Franklin"/>
          <w:color w:val="303A42"/>
          <w:sz w:val="22"/>
          <w:szCs w:val="22"/>
        </w:rPr>
        <w:t xml:space="preserve">Projected retained households (MOB6)</w:t>
      </w:r>
    </w:p>
    <w:p>
      <w:pPr>
        <w:pStyle w:val="ListParagraph"/>
        <w:numPr>
          <w:ilvl w:val="0"/>
          <w:numId w:val="3"/>
        </w:numPr>
        <w:spacing w:after="60"/>
      </w:pPr>
      <w:r>
        <w:rPr>
          <w:rFonts w:ascii="Libre Franklin" w:cs="Libre Franklin" w:eastAsia="Libre Franklin" w:hAnsi="Libre Franklin"/>
          <w:color w:val="303A42"/>
          <w:sz w:val="22"/>
          <w:szCs w:val="22"/>
        </w:rPr>
        <w:t xml:space="preserve">Projected PFI households</w:t>
      </w:r>
    </w:p>
    <w:p>
      <w:pPr>
        <w:pStyle w:val="ListParagraph"/>
        <w:numPr>
          <w:ilvl w:val="0"/>
          <w:numId w:val="3"/>
        </w:numPr>
        <w:spacing w:after="60"/>
      </w:pPr>
      <w:r>
        <w:rPr>
          <w:rFonts w:ascii="Libre Franklin" w:cs="Libre Franklin" w:eastAsia="Libre Franklin" w:hAnsi="Libre Franklin"/>
          <w:color w:val="303A42"/>
          <w:sz w:val="22"/>
          <w:szCs w:val="22"/>
        </w:rPr>
        <w:t xml:space="preserve">Total projected portfolio LTV</w:t>
      </w:r>
    </w:p>
    <w:p>
      <w:pPr>
        <w:pStyle w:val="ListParagraph"/>
        <w:numPr>
          <w:ilvl w:val="0"/>
          <w:numId w:val="3"/>
        </w:numPr>
        <w:spacing w:after="60"/>
      </w:pPr>
      <w:r>
        <w:rPr>
          <w:rFonts w:ascii="Libre Franklin" w:cs="Libre Franklin" w:eastAsia="Libre Franklin" w:hAnsi="Libre Franklin"/>
          <w:color w:val="303A42"/>
          <w:sz w:val="22"/>
          <w:szCs w:val="22"/>
        </w:rPr>
        <w:t xml:space="preserve">CPIHH and blended CPL</w:t>
      </w:r>
    </w:p>
    <w:p>
      <w:pPr>
        <w:spacing w:after="200"/>
      </w:pPr>
    </w:p>
    <w:p>
      <w:pPr>
        <w:spacing w:after="120"/>
      </w:pPr>
      <w:r>
        <w:rPr>
          <w:rFonts w:ascii="Libre Franklin" w:cs="Libre Franklin" w:eastAsia="Libre Franklin" w:hAnsi="Libre Franklin"/>
          <w:b/>
          <w:bCs/>
          <w:color w:val="303A42"/>
          <w:sz w:val="22"/>
          <w:szCs w:val="22"/>
        </w:rPr>
        <w:t xml:space="preserve">Panel 2 — Funnel waterfall visualization:</w:t>
      </w:r>
    </w:p>
    <w:p>
      <w:pPr>
        <w:spacing w:after="120"/>
      </w:pPr>
      <w:r>
        <w:rPr>
          <w:rFonts w:ascii="Libre Franklin" w:cs="Libre Franklin" w:eastAsia="Libre Franklin" w:hAnsi="Libre Franklin"/>
          <w:color w:val="303A42"/>
          <w:sz w:val="22"/>
          <w:szCs w:val="22"/>
        </w:rPr>
        <w:t xml:space="preserve">A horizontal bar chart showing volume at each funnel stage, with drop-off quantities and dollar impact between stages. Color-coded: green for stages above benchmark, yellow for at-benchmark, red for below.</w:t>
      </w:r>
    </w:p>
    <w:p>
      <w:pPr>
        <w:spacing w:after="200"/>
      </w:pPr>
    </w:p>
    <w:p>
      <w:pPr>
        <w:spacing w:after="120"/>
      </w:pPr>
      <w:r>
        <w:rPr>
          <w:rFonts w:ascii="Libre Franklin" w:cs="Libre Franklin" w:eastAsia="Libre Franklin" w:hAnsi="Libre Franklin"/>
          <w:b/>
          <w:bCs/>
          <w:color w:val="303A42"/>
          <w:sz w:val="22"/>
          <w:szCs w:val="22"/>
        </w:rPr>
        <w:t xml:space="preserve">Panel 3 — Channel contribution breakdown:</w:t>
      </w:r>
    </w:p>
    <w:p>
      <w:pPr>
        <w:spacing w:after="120"/>
      </w:pPr>
      <w:r>
        <w:rPr>
          <w:rFonts w:ascii="Libre Franklin" w:cs="Libre Franklin" w:eastAsia="Libre Franklin" w:hAnsi="Libre Franklin"/>
          <w:color w:val="303A42"/>
          <w:sz w:val="22"/>
          <w:szCs w:val="22"/>
        </w:rPr>
        <w:t xml:space="preserve">Stacked bar or pie showing each channel’s contribution to funded accounts. Enables the CMO to see which channels are most efficient and where reallocation would have the highest marginal impact.</w:t>
      </w:r>
    </w:p>
    <w:p>
      <w:pPr>
        <w:spacing w:after="200"/>
      </w:pPr>
    </w:p>
    <w:p>
      <w:pPr>
        <w:spacing w:after="120"/>
      </w:pPr>
      <w:r>
        <w:rPr>
          <w:rFonts w:ascii="Libre Franklin" w:cs="Libre Franklin" w:eastAsia="Libre Franklin" w:hAnsi="Libre Franklin"/>
          <w:b/>
          <w:bCs/>
          <w:color w:val="303A42"/>
          <w:sz w:val="22"/>
          <w:szCs w:val="22"/>
        </w:rPr>
        <w:t xml:space="preserve">Panel 4 — Scenario comparison:</w:t>
      </w:r>
    </w:p>
    <w:p>
      <w:pPr>
        <w:spacing w:after="120"/>
      </w:pPr>
      <w:r>
        <w:rPr>
          <w:rFonts w:ascii="Libre Franklin" w:cs="Libre Franklin" w:eastAsia="Libre Franklin" w:hAnsi="Libre Franklin"/>
          <w:color w:val="303A42"/>
          <w:sz w:val="22"/>
          <w:szCs w:val="22"/>
        </w:rPr>
        <w:t xml:space="preserve">Side-by-side comparison of up to 3 saved scenarios. The user can save the current configuration, adjust inputs, and compare the new scenario against the baseline. Differences highlighted in red/green.</w:t>
      </w:r>
    </w:p>
    <w:p>
      <w:pPr>
        <w:spacing w:after="200"/>
      </w:pPr>
    </w:p>
    <w:p>
      <w:pPr>
        <w:spacing w:after="120"/>
      </w:pPr>
      <w:r>
        <w:rPr>
          <w:rFonts w:ascii="Libre Franklin" w:cs="Libre Franklin" w:eastAsia="Libre Franklin" w:hAnsi="Libre Franklin"/>
          <w:b/>
          <w:bCs/>
          <w:color w:val="303A42"/>
          <w:sz w:val="22"/>
          <w:szCs w:val="22"/>
        </w:rPr>
        <w:t xml:space="preserve">Panel 5 — Sensitivity analysis:</w:t>
      </w:r>
    </w:p>
    <w:p>
      <w:pPr>
        <w:spacing w:after="120"/>
      </w:pPr>
      <w:r>
        <w:rPr>
          <w:rFonts w:ascii="Libre Franklin" w:cs="Libre Franklin" w:eastAsia="Libre Franklin" w:hAnsi="Libre Franklin"/>
          <w:color w:val="303A42"/>
          <w:sz w:val="22"/>
          <w:szCs w:val="22"/>
        </w:rPr>
        <w:t xml:space="preserve">For any single input variable, show a curve of how the headline metrics change as that variable moves from its minimum to maximum range. Answers questions like “How sensitive is our HH count to retention rate?” or “What’s the marginal HH impact of each additional $1M in brand media?”</w:t>
      </w:r>
    </w:p>
    <w:p>
      <w:pPr>
        <w:spacing w:after="200"/>
      </w:pPr>
    </w:p>
    <w:p>
      <w:pPr>
        <w:pStyle w:val="Heading2"/>
      </w:pPr>
      <w:r>
        <w:t xml:space="preserve">10.7 Presets and templates</w:t>
      </w:r>
    </w:p>
    <w:p>
      <w:pPr>
        <w:spacing w:after="120"/>
      </w:pPr>
      <w:r>
        <w:rPr>
          <w:rFonts w:ascii="Libre Franklin" w:cs="Libre Franklin" w:eastAsia="Libre Franklin" w:hAnsi="Libre Franklin"/>
          <w:color w:val="303A42"/>
          <w:sz w:val="22"/>
          <w:szCs w:val="22"/>
        </w:rPr>
        <w:t xml:space="preserve">The Simulator ships with pre-built scenario templates based on RVGT’s engagement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Template</w:t>
            </w:r>
          </w:p>
        </w:tc>
        <w:tc>
          <w:tcPr>
            <w:tcW w:type="dxa" w:w="30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Use Case</w:t>
            </w:r>
          </w:p>
        </w:tc>
        <w:tc>
          <w:tcPr>
            <w:tcW w:type="dxa" w:w="396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Pre-loaded Assumptions</w:t>
            </w:r>
          </w:p>
        </w:tc>
      </w:tr>
      <w:tr>
        <w:tc>
          <w:tcPr>
            <w:tcW w:type="dxa" w:w="24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Regional Bank — Growth Mode</w:t>
            </w:r>
          </w:p>
        </w:tc>
        <w:tc>
          <w:tcPr>
            <w:tcW w:type="dxa" w:w="3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BD pitch to mid-size regional bank seeking digital HH growth</w:t>
            </w:r>
          </w:p>
        </w:tc>
        <w:tc>
          <w:tcPr>
            <w:tcW w:type="dxa" w:w="39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50–200 branches, $5–10M media, moderate digital maturity</w:t>
            </w:r>
          </w:p>
        </w:tc>
      </w:tr>
      <w:tr>
        <w:tc>
          <w:tcPr>
            <w:tcW w:type="dxa" w:w="24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Top-20 Bank — Optimization</w:t>
            </w:r>
          </w:p>
        </w:tc>
        <w:tc>
          <w:tcPr>
            <w:tcW w:type="dxa" w:w="3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Active client scenario planning for large institution</w:t>
            </w:r>
          </w:p>
        </w:tc>
        <w:tc>
          <w:tcPr>
            <w:tcW w:type="dxa" w:w="39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500+ branches, $10M+ media, high digital maturity, live data overlay</w:t>
            </w:r>
          </w:p>
        </w:tc>
      </w:tr>
      <w:tr>
        <w:tc>
          <w:tcPr>
            <w:tcW w:type="dxa" w:w="24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Community Bank — Digital Entry</w:t>
            </w:r>
          </w:p>
        </w:tc>
        <w:tc>
          <w:tcPr>
            <w:tcW w:type="dxa" w:w="3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BD pitch to community bank starting digital acquisition</w:t>
            </w:r>
          </w:p>
        </w:tc>
        <w:tc>
          <w:tcPr>
            <w:tcW w:type="dxa" w:w="39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10–50 branches, $1–3M media, low digital maturity</w:t>
            </w:r>
          </w:p>
        </w:tc>
      </w:tr>
      <w:tr>
        <w:tc>
          <w:tcPr>
            <w:tcW w:type="dxa" w:w="24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De Novo / Neobank</w:t>
            </w:r>
          </w:p>
        </w:tc>
        <w:tc>
          <w:tcPr>
            <w:tcW w:type="dxa" w:w="3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BD pitch to digital-only or newly chartered institution</w:t>
            </w:r>
          </w:p>
        </w:tc>
        <w:tc>
          <w:tcPr>
            <w:tcW w:type="dxa" w:w="39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0 branches, $2–5M media, digital-native, high conversion baseline</w:t>
            </w:r>
          </w:p>
        </w:tc>
      </w:tr>
      <w:tr>
        <w:tc>
          <w:tcPr>
            <w:tcW w:type="dxa" w:w="24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Acquisition Integration</w:t>
            </w:r>
          </w:p>
        </w:tc>
        <w:tc>
          <w:tcPr>
            <w:tcW w:type="dxa" w:w="3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Model for a bank integrating acquired portfolios</w:t>
            </w:r>
          </w:p>
        </w:tc>
        <w:tc>
          <w:tcPr>
            <w:tcW w:type="dxa" w:w="39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Combined branch networks, blended benchmarks, retention-focused</w:t>
            </w:r>
          </w:p>
        </w:tc>
      </w:tr>
    </w:tbl>
    <w:p>
      <w:pPr>
        <w:spacing w:after="200"/>
      </w:pPr>
    </w:p>
    <w:p>
      <w:pPr>
        <w:pStyle w:val="Heading2"/>
      </w:pPr>
      <w:r>
        <w:t xml:space="preserve">10.8 BD-specific features</w:t>
      </w:r>
    </w:p>
    <w:p>
      <w:pPr>
        <w:spacing w:after="120"/>
      </w:pPr>
      <w:r>
        <w:rPr>
          <w:rFonts w:ascii="Libre Franklin" w:cs="Libre Franklin" w:eastAsia="Libre Franklin" w:hAnsi="Libre Franklin"/>
          <w:b/>
          <w:bCs/>
          <w:color w:val="303A42"/>
          <w:sz w:val="22"/>
          <w:szCs w:val="22"/>
        </w:rPr>
        <w:t xml:space="preserve">Before/After toggle:</w:t>
      </w:r>
    </w:p>
    <w:p>
      <w:pPr>
        <w:spacing w:after="120"/>
      </w:pPr>
      <w:r>
        <w:rPr>
          <w:rFonts w:ascii="Libre Franklin" w:cs="Libre Franklin" w:eastAsia="Libre Franklin" w:hAnsi="Libre Franklin"/>
          <w:color w:val="303A42"/>
          <w:sz w:val="22"/>
          <w:szCs w:val="22"/>
        </w:rPr>
        <w:t xml:space="preserve">In BD Mode, the Simulator can display a “before RVGT” scenario (using the prospect’s estimated current performance) alongside an “after RVGT” scenario (using RVGT benchmark improvements). The improvement assumptions are based on RVGT’s historical engagement results: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Lever</w:t>
            </w:r>
          </w:p>
        </w:tc>
        <w:tc>
          <w:tcPr>
            <w:tcW w:type="dxa" w:w="30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Typical RVGT Improvement</w:t>
            </w:r>
          </w:p>
        </w:tc>
        <w:tc>
          <w:tcPr>
            <w:tcW w:type="dxa" w:w="356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Source</w:t>
            </w:r>
          </w:p>
        </w:tc>
      </w:tr>
      <w:tr>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Brand capture rate</w:t>
            </w:r>
          </w:p>
        </w:tc>
        <w:tc>
          <w:tcPr>
            <w:tcW w:type="dxa" w:w="3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+30–40 percentage points</w:t>
            </w:r>
          </w:p>
        </w:tc>
        <w:tc>
          <w:tcPr>
            <w:tcW w:type="dxa" w:w="3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Historical: 40% → 80%</w:t>
            </w:r>
          </w:p>
        </w:tc>
      </w:tr>
      <w:tr>
        <w:tc>
          <w:tcPr>
            <w:tcW w:type="dxa" w:w="2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Conversion rate (site)</w:t>
            </w:r>
          </w:p>
        </w:tc>
        <w:tc>
          <w:tcPr>
            <w:tcW w:type="dxa" w:w="3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+3–5% accounts, +4% modeled margin</w:t>
            </w:r>
          </w:p>
        </w:tc>
        <w:tc>
          <w:tcPr>
            <w:tcW w:type="dxa" w:w="3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Historical Q1 performance</w:t>
            </w:r>
          </w:p>
        </w:tc>
      </w:tr>
      <w:tr>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Testing velocity</w:t>
            </w:r>
          </w:p>
        </w:tc>
        <w:tc>
          <w:tcPr>
            <w:tcW w:type="dxa" w:w="3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3x faster to winning experiences</w:t>
            </w:r>
          </w:p>
        </w:tc>
        <w:tc>
          <w:tcPr>
            <w:tcW w:type="dxa" w:w="3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Historical platform data</w:t>
            </w:r>
          </w:p>
        </w:tc>
      </w:tr>
      <w:tr>
        <w:tc>
          <w:tcPr>
            <w:tcW w:type="dxa" w:w="2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Onboarding engagement</w:t>
            </w:r>
          </w:p>
        </w:tc>
        <w:tc>
          <w:tcPr>
            <w:tcW w:type="dxa" w:w="3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2.2x lift in activation actions</w:t>
            </w:r>
          </w:p>
        </w:tc>
        <w:tc>
          <w:tcPr>
            <w:tcW w:type="dxa" w:w="3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Historical EMOB results</w:t>
            </w:r>
          </w:p>
        </w:tc>
      </w:tr>
      <w:tr>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Retention (MOB6)</w:t>
            </w:r>
          </w:p>
        </w:tc>
        <w:tc>
          <w:tcPr>
            <w:tcW w:type="dxa" w:w="3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+2–4 percentage points</w:t>
            </w:r>
          </w:p>
        </w:tc>
        <w:tc>
          <w:tcPr>
            <w:tcW w:type="dxa" w:w="3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Historical geo-optimization data</w:t>
            </w:r>
          </w:p>
        </w:tc>
      </w:tr>
      <w:tr>
        <w:tc>
          <w:tcPr>
            <w:tcW w:type="dxa" w:w="2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SEO incremental accounts</w:t>
            </w:r>
          </w:p>
        </w:tc>
        <w:tc>
          <w:tcPr>
            <w:tcW w:type="dxa" w:w="3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+2,000/year from path optimization</w:t>
            </w:r>
          </w:p>
        </w:tc>
        <w:tc>
          <w:tcPr>
            <w:tcW w:type="dxa" w:w="3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Historical SEO data</w:t>
            </w:r>
          </w:p>
        </w:tc>
      </w:tr>
    </w:tbl>
    <w:p>
      <w:pPr>
        <w:spacing w:after="200"/>
      </w:pPr>
    </w:p>
    <w:p>
      <w:pPr>
        <w:spacing w:after="120"/>
      </w:pPr>
      <w:r>
        <w:rPr>
          <w:rFonts w:ascii="Libre Franklin" w:cs="Libre Franklin" w:eastAsia="Libre Franklin" w:hAnsi="Libre Franklin"/>
          <w:b/>
          <w:bCs/>
          <w:color w:val="303A42"/>
          <w:sz w:val="22"/>
          <w:szCs w:val="22"/>
        </w:rPr>
        <w:t xml:space="preserve">Prospect data auto-population:</w:t>
      </w:r>
    </w:p>
    <w:p>
      <w:pPr>
        <w:spacing w:after="120"/>
      </w:pPr>
      <w:r>
        <w:rPr>
          <w:rFonts w:ascii="Libre Franklin" w:cs="Libre Franklin" w:eastAsia="Libre Franklin" w:hAnsi="Libre Franklin"/>
          <w:color w:val="303A42"/>
          <w:sz w:val="22"/>
          <w:szCs w:val="22"/>
        </w:rPr>
        <w:t xml:space="preserve">When entering an institution name, the Simulator can auto-populate publicly available data: branch count (FDIC), deposit market share, approximate media spend (Sensor Tower / Pathmatics), and web traffic estimates (SimilarWeb). This reduces the BD lead’s setup time from 15 minutes to under 2.</w:t>
      </w:r>
    </w:p>
    <w:p>
      <w:pPr>
        <w:spacing w:after="200"/>
      </w:pPr>
    </w:p>
    <w:p>
      <w:r>
        <w:br w:type="page"/>
      </w:r>
    </w:p>
    <w:p>
      <w:pPr>
        <w:pStyle w:val="Heading1"/>
      </w:pPr>
      <w:r>
        <w:t xml:space="preserve">11. Apex ↔ Kamino integration specification</w:t>
      </w:r>
    </w:p>
    <w:p>
      <w:pPr>
        <w:spacing w:after="120"/>
      </w:pPr>
      <w:r>
        <w:rPr>
          <w:rFonts w:ascii="Libre Franklin" w:cs="Libre Franklin" w:eastAsia="Libre Franklin" w:hAnsi="Libre Franklin"/>
          <w:color w:val="303A42"/>
          <w:sz w:val="22"/>
          <w:szCs w:val="22"/>
        </w:rPr>
        <w:t xml:space="preserve">Apex and Kamino communicate through a shared directive bus. When the CMO makes a decision in Apex, the system generates a structured directive that Kamino consumes and executes. Kamino reports execution status back through the shared data lake.</w:t>
      </w:r>
    </w:p>
    <w:p>
      <w:pPr>
        <w:spacing w:after="200"/>
      </w:pPr>
    </w:p>
    <w:p>
      <w:pPr>
        <w:pStyle w:val="Heading2"/>
      </w:pPr>
      <w:r>
        <w:t xml:space="preserve">11.1 Directive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2760"/>
      </w:tblGrid>
      <w:tr>
        <w:tc>
          <w:tcPr>
            <w:tcW w:type="dxa" w:w="20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Category</w:t>
            </w:r>
          </w:p>
        </w:tc>
        <w:tc>
          <w:tcPr>
            <w:tcW w:type="dxa" w:w="28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Example</w:t>
            </w:r>
          </w:p>
        </w:tc>
        <w:tc>
          <w:tcPr>
            <w:tcW w:type="dxa" w:w="18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Apex Module</w:t>
            </w:r>
          </w:p>
        </w:tc>
        <w:tc>
          <w:tcPr>
            <w:tcW w:type="dxa" w:w="276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Kamino Action</w:t>
            </w:r>
          </w:p>
        </w:tc>
      </w:tr>
      <w:tr>
        <w:tc>
          <w:tcPr>
            <w:tcW w:type="dxa" w:w="2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Budget Reallocation</w:t>
            </w:r>
          </w:p>
        </w:tc>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Shift $50K from audio to CTV in growth markets</w:t>
            </w:r>
          </w:p>
        </w:tc>
        <w:tc>
          <w:tcPr>
            <w:tcW w:type="dxa" w:w="1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Spend Allocation</w:t>
            </w:r>
          </w:p>
        </w:tc>
        <w:tc>
          <w:tcPr>
            <w:tcW w:type="dxa" w:w="27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Update platform budgets, adjust bid caps</w:t>
            </w:r>
          </w:p>
        </w:tc>
      </w:tr>
      <w:tr>
        <w:tc>
          <w:tcPr>
            <w:tcW w:type="dxa" w:w="2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Market Tier Change</w:t>
            </w:r>
          </w:p>
        </w:tc>
        <w:tc>
          <w:tcPr>
            <w:tcW w:type="dxa" w:w="2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Move a market from Experiment to Growth Tier 2</w:t>
            </w:r>
          </w:p>
        </w:tc>
        <w:tc>
          <w:tcPr>
            <w:tcW w:type="dxa" w:w="1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Spend Allocation</w:t>
            </w:r>
          </w:p>
        </w:tc>
        <w:tc>
          <w:tcPr>
            <w:tcW w:type="dxa" w:w="27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Enable campaigns, set bids, deploy creative</w:t>
            </w:r>
          </w:p>
        </w:tc>
      </w:tr>
      <w:tr>
        <w:tc>
          <w:tcPr>
            <w:tcW w:type="dxa" w:w="2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Channel Mix Adjustment</w:t>
            </w:r>
          </w:p>
        </w:tc>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Increase social from 35% to 42% of brand media</w:t>
            </w:r>
          </w:p>
        </w:tc>
        <w:tc>
          <w:tcPr>
            <w:tcW w:type="dxa" w:w="1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Spend Allocation</w:t>
            </w:r>
          </w:p>
        </w:tc>
        <w:tc>
          <w:tcPr>
            <w:tcW w:type="dxa" w:w="27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Redistribute daily budgets</w:t>
            </w:r>
          </w:p>
        </w:tc>
      </w:tr>
      <w:tr>
        <w:tc>
          <w:tcPr>
            <w:tcW w:type="dxa" w:w="2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Life Event Toggle</w:t>
            </w:r>
          </w:p>
        </w:tc>
        <w:tc>
          <w:tcPr>
            <w:tcW w:type="dxa" w:w="2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Pause one campaign; increase another 20%</w:t>
            </w:r>
          </w:p>
        </w:tc>
        <w:tc>
          <w:tcPr>
            <w:tcW w:type="dxa" w:w="1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Paid Channels</w:t>
            </w:r>
          </w:p>
        </w:tc>
        <w:tc>
          <w:tcPr>
            <w:tcW w:type="dxa" w:w="27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Pause/enable campaign sets</w:t>
            </w:r>
          </w:p>
        </w:tc>
      </w:tr>
      <w:tr>
        <w:tc>
          <w:tcPr>
            <w:tcW w:type="dxa" w:w="2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Test Launch</w:t>
            </w:r>
          </w:p>
        </w:tc>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Deploy new landing page variant in a market</w:t>
            </w:r>
          </w:p>
        </w:tc>
        <w:tc>
          <w:tcPr>
            <w:tcW w:type="dxa" w:w="1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Funnel</w:t>
            </w:r>
          </w:p>
        </w:tc>
        <w:tc>
          <w:tcPr>
            <w:tcW w:type="dxa" w:w="27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Configure A/B split, deploy</w:t>
            </w:r>
          </w:p>
        </w:tc>
      </w:tr>
      <w:tr>
        <w:tc>
          <w:tcPr>
            <w:tcW w:type="dxa" w:w="2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Recovery Update</w:t>
            </w:r>
          </w:p>
        </w:tc>
        <w:tc>
          <w:tcPr>
            <w:tcW w:type="dxa" w:w="2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Change 0–2hr recovery channel for mobile users</w:t>
            </w:r>
          </w:p>
        </w:tc>
        <w:tc>
          <w:tcPr>
            <w:tcW w:type="dxa" w:w="1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Funnel</w:t>
            </w:r>
          </w:p>
        </w:tc>
        <w:tc>
          <w:tcPr>
            <w:tcW w:type="dxa" w:w="27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Update trigger rules</w:t>
            </w:r>
          </w:p>
        </w:tc>
      </w:tr>
      <w:tr>
        <w:tc>
          <w:tcPr>
            <w:tcW w:type="dxa" w:w="2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Offer Strategy</w:t>
            </w:r>
          </w:p>
        </w:tc>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Enable stacked DD bonus for growth markets</w:t>
            </w:r>
          </w:p>
        </w:tc>
        <w:tc>
          <w:tcPr>
            <w:tcW w:type="dxa" w:w="1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Onboarding</w:t>
            </w:r>
          </w:p>
        </w:tc>
        <w:tc>
          <w:tcPr>
            <w:tcW w:type="dxa" w:w="27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Push config to offer engine</w:t>
            </w:r>
          </w:p>
        </w:tc>
      </w:tr>
      <w:tr>
        <w:tc>
          <w:tcPr>
            <w:tcW w:type="dxa" w:w="2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Simulator Commit</w:t>
            </w:r>
          </w:p>
        </w:tc>
        <w:tc>
          <w:tcPr>
            <w:tcW w:type="dxa" w:w="2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Commit a Simulator scenario as the new allocation plan</w:t>
            </w:r>
          </w:p>
        </w:tc>
        <w:tc>
          <w:tcPr>
            <w:tcW w:type="dxa" w:w="1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Simulator</w:t>
            </w:r>
          </w:p>
        </w:tc>
        <w:tc>
          <w:tcPr>
            <w:tcW w:type="dxa" w:w="27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Execute full reallocation</w:t>
            </w:r>
          </w:p>
        </w:tc>
      </w:tr>
    </w:tbl>
    <w:p>
      <w:pPr>
        <w:spacing w:after="200"/>
      </w:pPr>
    </w:p>
    <w:p>
      <w:pPr>
        <w:pStyle w:val="Heading2"/>
      </w:pPr>
      <w:r>
        <w:t xml:space="preserve">11.2 Directive lifecycle</w:t>
      </w:r>
    </w:p>
    <w:p>
      <w:pPr>
        <w:pStyle w:val="ListParagraph"/>
        <w:numPr>
          <w:ilvl w:val="0"/>
          <w:numId w:val="4"/>
        </w:numPr>
        <w:spacing w:after="60"/>
      </w:pPr>
      <w:r>
        <w:rPr>
          <w:rFonts w:ascii="Libre Franklin" w:cs="Libre Franklin" w:eastAsia="Libre Franklin" w:hAnsi="Libre Franklin"/>
          <w:color w:val="303A42"/>
          <w:sz w:val="22"/>
          <w:szCs w:val="22"/>
        </w:rPr>
        <w:t xml:space="preserve">CMO takes action in Apex (e.g., commits a Simulator scenario or drags a market tier)</w:t>
      </w:r>
    </w:p>
    <w:p>
      <w:pPr>
        <w:pStyle w:val="ListParagraph"/>
        <w:numPr>
          <w:ilvl w:val="0"/>
          <w:numId w:val="4"/>
        </w:numPr>
        <w:spacing w:after="60"/>
      </w:pPr>
      <w:r>
        <w:rPr>
          <w:rFonts w:ascii="Libre Franklin" w:cs="Libre Franklin" w:eastAsia="Libre Franklin" w:hAnsi="Libre Franklin"/>
          <w:color w:val="303A42"/>
          <w:sz w:val="22"/>
          <w:szCs w:val="22"/>
        </w:rPr>
        <w:t xml:space="preserve">Apex generates directive: action type, parameters, estimated impact, timestamp, requestor</w:t>
      </w:r>
    </w:p>
    <w:p>
      <w:pPr>
        <w:pStyle w:val="ListParagraph"/>
        <w:numPr>
          <w:ilvl w:val="0"/>
          <w:numId w:val="4"/>
        </w:numPr>
        <w:spacing w:after="60"/>
      </w:pPr>
      <w:r>
        <w:rPr>
          <w:rFonts w:ascii="Libre Franklin" w:cs="Libre Franklin" w:eastAsia="Libre Franklin" w:hAnsi="Libre Franklin"/>
          <w:color w:val="303A42"/>
          <w:sz w:val="22"/>
          <w:szCs w:val="22"/>
        </w:rPr>
        <w:t xml:space="preserve">Directive enters approval queue (auto-approved within CMO authority; escalated if exceeding thresholds)</w:t>
      </w:r>
    </w:p>
    <w:p>
      <w:pPr>
        <w:pStyle w:val="ListParagraph"/>
        <w:numPr>
          <w:ilvl w:val="0"/>
          <w:numId w:val="4"/>
        </w:numPr>
        <w:spacing w:after="60"/>
      </w:pPr>
      <w:r>
        <w:rPr>
          <w:rFonts w:ascii="Libre Franklin" w:cs="Libre Franklin" w:eastAsia="Libre Franklin" w:hAnsi="Libre Franklin"/>
          <w:color w:val="303A42"/>
          <w:sz w:val="22"/>
          <w:szCs w:val="22"/>
        </w:rPr>
        <w:t xml:space="preserve">Approved directive published to the directive bus</w:t>
      </w:r>
    </w:p>
    <w:p>
      <w:pPr>
        <w:pStyle w:val="ListParagraph"/>
        <w:numPr>
          <w:ilvl w:val="0"/>
          <w:numId w:val="4"/>
        </w:numPr>
        <w:spacing w:after="60"/>
      </w:pPr>
      <w:r>
        <w:rPr>
          <w:rFonts w:ascii="Libre Franklin" w:cs="Libre Franklin" w:eastAsia="Libre Franklin" w:hAnsi="Libre Franklin"/>
          <w:color w:val="303A42"/>
          <w:sz w:val="22"/>
          <w:szCs w:val="22"/>
        </w:rPr>
        <w:t xml:space="preserve">Kamino validates feasibility, begins execution</w:t>
      </w:r>
    </w:p>
    <w:p>
      <w:pPr>
        <w:pStyle w:val="ListParagraph"/>
        <w:numPr>
          <w:ilvl w:val="0"/>
          <w:numId w:val="4"/>
        </w:numPr>
        <w:spacing w:after="60"/>
      </w:pPr>
      <w:r>
        <w:rPr>
          <w:rFonts w:ascii="Libre Franklin" w:cs="Libre Franklin" w:eastAsia="Libre Franklin" w:hAnsi="Libre Franklin"/>
          <w:color w:val="303A42"/>
          <w:sz w:val="22"/>
          <w:szCs w:val="22"/>
        </w:rPr>
        <w:t xml:space="preserve">Kamino reports: execution start, progress, completion or failure</w:t>
      </w:r>
    </w:p>
    <w:p>
      <w:pPr>
        <w:pStyle w:val="ListParagraph"/>
        <w:numPr>
          <w:ilvl w:val="0"/>
          <w:numId w:val="4"/>
        </w:numPr>
        <w:spacing w:after="60"/>
      </w:pPr>
      <w:r>
        <w:rPr>
          <w:rFonts w:ascii="Libre Franklin" w:cs="Libre Franklin" w:eastAsia="Libre Franklin" w:hAnsi="Libre Franklin"/>
          <w:color w:val="303A42"/>
          <w:sz w:val="22"/>
          <w:szCs w:val="22"/>
        </w:rPr>
        <w:t xml:space="preserve">Apex updates relevant module with execution status and outcome data</w:t>
      </w:r>
    </w:p>
    <w:p>
      <w:pPr>
        <w:spacing w:after="200"/>
      </w:pPr>
    </w:p>
    <w:p>
      <w:pPr>
        <w:pStyle w:val="Heading2"/>
      </w:pPr>
      <w:r>
        <w:t xml:space="preserve">11.3 Simulator → Kamino bridge</w:t>
      </w:r>
    </w:p>
    <w:p>
      <w:pPr>
        <w:spacing w:after="120"/>
      </w:pPr>
      <w:r>
        <w:rPr>
          <w:rFonts w:ascii="Libre Franklin" w:cs="Libre Franklin" w:eastAsia="Libre Franklin" w:hAnsi="Libre Franklin"/>
          <w:color w:val="303A42"/>
          <w:sz w:val="22"/>
          <w:szCs w:val="22"/>
        </w:rPr>
        <w:t xml:space="preserve">When operating in Client Mode, a Simulator scenario can be “committed” — converting it from a what-if model into an actual reallocation directive. The commit flow:</w:t>
      </w:r>
    </w:p>
    <w:p>
      <w:pPr>
        <w:spacing w:after="200"/>
      </w:pPr>
    </w:p>
    <w:p>
      <w:pPr>
        <w:pStyle w:val="ListParagraph"/>
        <w:numPr>
          <w:ilvl w:val="0"/>
          <w:numId w:val="5"/>
        </w:numPr>
        <w:spacing w:after="60"/>
      </w:pPr>
      <w:r>
        <w:rPr>
          <w:rFonts w:ascii="Libre Franklin" w:cs="Libre Franklin" w:eastAsia="Libre Franklin" w:hAnsi="Libre Franklin"/>
          <w:color w:val="303A42"/>
          <w:sz w:val="22"/>
          <w:szCs w:val="22"/>
        </w:rPr>
        <w:t xml:space="preserve">User saves and names a scenario in the Simulator</w:t>
      </w:r>
    </w:p>
    <w:p>
      <w:pPr>
        <w:pStyle w:val="ListParagraph"/>
        <w:numPr>
          <w:ilvl w:val="0"/>
          <w:numId w:val="5"/>
        </w:numPr>
        <w:spacing w:after="60"/>
      </w:pPr>
      <w:r>
        <w:rPr>
          <w:rFonts w:ascii="Libre Franklin" w:cs="Libre Franklin" w:eastAsia="Libre Franklin" w:hAnsi="Libre Franklin"/>
          <w:color w:val="303A42"/>
          <w:sz w:val="22"/>
          <w:szCs w:val="22"/>
        </w:rPr>
        <w:t xml:space="preserve">User clicks “Commit scenario” — Apex generates a summary of all changes vs. current state</w:t>
      </w:r>
    </w:p>
    <w:p>
      <w:pPr>
        <w:pStyle w:val="ListParagraph"/>
        <w:numPr>
          <w:ilvl w:val="0"/>
          <w:numId w:val="5"/>
        </w:numPr>
        <w:spacing w:after="60"/>
      </w:pPr>
      <w:r>
        <w:rPr>
          <w:rFonts w:ascii="Libre Franklin" w:cs="Libre Franklin" w:eastAsia="Libre Franklin" w:hAnsi="Libre Franklin"/>
          <w:color w:val="303A42"/>
          <w:sz w:val="22"/>
          <w:szCs w:val="22"/>
        </w:rPr>
        <w:t xml:space="preserve">CMO reviews the change summary (budget shifts, market tier changes, channel mix deltas)</w:t>
      </w:r>
    </w:p>
    <w:p>
      <w:pPr>
        <w:pStyle w:val="ListParagraph"/>
        <w:numPr>
          <w:ilvl w:val="0"/>
          <w:numId w:val="5"/>
        </w:numPr>
        <w:spacing w:after="60"/>
      </w:pPr>
      <w:r>
        <w:rPr>
          <w:rFonts w:ascii="Libre Franklin" w:cs="Libre Franklin" w:eastAsia="Libre Franklin" w:hAnsi="Libre Franklin"/>
          <w:color w:val="303A42"/>
          <w:sz w:val="22"/>
          <w:szCs w:val="22"/>
        </w:rPr>
        <w:t xml:space="preserve">CMO confirms — Apex generates a batch directive containing all individual changes</w:t>
      </w:r>
    </w:p>
    <w:p>
      <w:pPr>
        <w:pStyle w:val="ListParagraph"/>
        <w:numPr>
          <w:ilvl w:val="0"/>
          <w:numId w:val="5"/>
        </w:numPr>
        <w:spacing w:after="60"/>
      </w:pPr>
      <w:r>
        <w:rPr>
          <w:rFonts w:ascii="Libre Franklin" w:cs="Libre Franklin" w:eastAsia="Libre Franklin" w:hAnsi="Libre Franklin"/>
          <w:color w:val="303A42"/>
          <w:sz w:val="22"/>
          <w:szCs w:val="22"/>
        </w:rPr>
        <w:t xml:space="preserve">Kamino receives the batch and executes changes in dependency order</w:t>
      </w:r>
    </w:p>
    <w:p>
      <w:pPr>
        <w:pStyle w:val="ListParagraph"/>
        <w:numPr>
          <w:ilvl w:val="0"/>
          <w:numId w:val="5"/>
        </w:numPr>
        <w:spacing w:after="60"/>
      </w:pPr>
      <w:r>
        <w:rPr>
          <w:rFonts w:ascii="Libre Franklin" w:cs="Libre Franklin" w:eastAsia="Libre Franklin" w:hAnsi="Libre Franklin"/>
          <w:color w:val="303A42"/>
          <w:sz w:val="22"/>
          <w:szCs w:val="22"/>
        </w:rPr>
        <w:t xml:space="preserve">Progress tracked in the Operations Command module until all changes are live</w:t>
      </w:r>
    </w:p>
    <w:p>
      <w:pPr>
        <w:spacing w:after="200"/>
      </w:pPr>
    </w:p>
    <w:p>
      <w:r>
        <w:br w:type="page"/>
      </w:r>
    </w:p>
    <w:p>
      <w:pPr>
        <w:pStyle w:val="Heading1"/>
      </w:pPr>
      <w:r>
        <w:t xml:space="preserve">12. Alert engine specification</w:t>
      </w:r>
    </w:p>
    <w:p>
      <w:pPr>
        <w:spacing w:after="120"/>
      </w:pPr>
      <w:r>
        <w:rPr>
          <w:rFonts w:ascii="Libre Franklin" w:cs="Libre Franklin" w:eastAsia="Libre Franklin" w:hAnsi="Libre Franklin"/>
          <w:color w:val="303A42"/>
          <w:sz w:val="22"/>
          <w:szCs w:val="22"/>
        </w:rPr>
        <w:t xml:space="preserve">Cross-cutting system that monitors every metric in every module against defined thresholds. Generates alerts at three severity levels.</w:t>
      </w:r>
    </w:p>
    <w:p>
      <w:pPr>
        <w:spacing w:after="200"/>
      </w:pPr>
    </w:p>
    <w:p>
      <w:pPr>
        <w:pStyle w:val="Heading2"/>
      </w:pPr>
      <w:r>
        <w:t xml:space="preserve">12.1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c>
          <w:tcPr>
            <w:tcW w:type="dxa" w:w="14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Severity</w:t>
            </w:r>
          </w:p>
        </w:tc>
        <w:tc>
          <w:tcPr>
            <w:tcW w:type="dxa" w:w="44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Definition</w:t>
            </w:r>
          </w:p>
        </w:tc>
        <w:tc>
          <w:tcPr>
            <w:tcW w:type="dxa" w:w="356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Routing</w:t>
            </w:r>
          </w:p>
        </w:tc>
      </w:tr>
      <w:tr>
        <w:tc>
          <w:tcPr>
            <w:tcW w:type="dxa" w:w="14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Critical</w:t>
            </w:r>
          </w:p>
        </w:tc>
        <w:tc>
          <w:tcPr>
            <w:tcW w:type="dxa" w:w="44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KPI breach threatening contractual targets</w:t>
            </w:r>
          </w:p>
        </w:tc>
        <w:tc>
          <w:tcPr>
            <w:tcW w:type="dxa" w:w="3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CMO + workstream lead immediately</w:t>
            </w:r>
          </w:p>
        </w:tc>
      </w:tr>
      <w:tr>
        <w:tc>
          <w:tcPr>
            <w:tcW w:type="dxa" w:w="14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Warning</w:t>
            </w:r>
          </w:p>
        </w:tc>
        <w:tc>
          <w:tcPr>
            <w:tcW w:type="dxa" w:w="44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Metric trending toward breach within 2 weeks</w:t>
            </w:r>
          </w:p>
        </w:tc>
        <w:tc>
          <w:tcPr>
            <w:tcW w:type="dxa" w:w="3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Workstream lead; CMO daily digest</w:t>
            </w:r>
          </w:p>
        </w:tc>
      </w:tr>
      <w:tr>
        <w:tc>
          <w:tcPr>
            <w:tcW w:type="dxa" w:w="14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Info</w:t>
            </w:r>
          </w:p>
        </w:tc>
        <w:tc>
          <w:tcPr>
            <w:tcW w:type="dxa" w:w="44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Notable change worth awareness, not action</w:t>
            </w:r>
          </w:p>
        </w:tc>
        <w:tc>
          <w:tcPr>
            <w:tcW w:type="dxa" w:w="3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CMO weekly digest only</w:t>
            </w:r>
          </w:p>
        </w:tc>
      </w:tr>
    </w:tbl>
    <w:p>
      <w:pPr>
        <w:spacing w:after="200"/>
      </w:pPr>
    </w:p>
    <w:p>
      <w:pPr>
        <w:pStyle w:val="Heading2"/>
      </w:pPr>
      <w:r>
        <w:t xml:space="preserve">12.2 Representative alert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200"/>
        <w:gridCol w:w="3160"/>
      </w:tblGrid>
      <w:tr>
        <w:tc>
          <w:tcPr>
            <w:tcW w:type="dxa" w:w="20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Rule</w:t>
            </w:r>
          </w:p>
        </w:tc>
        <w:tc>
          <w:tcPr>
            <w:tcW w:type="dxa" w:w="30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Condition</w:t>
            </w:r>
          </w:p>
        </w:tc>
        <w:tc>
          <w:tcPr>
            <w:tcW w:type="dxa" w:w="12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Severity</w:t>
            </w:r>
          </w:p>
        </w:tc>
        <w:tc>
          <w:tcPr>
            <w:tcW w:type="dxa" w:w="316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Module</w:t>
            </w:r>
          </w:p>
        </w:tc>
      </w:tr>
      <w:tr>
        <w:tc>
          <w:tcPr>
            <w:tcW w:type="dxa" w:w="2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Retention cliff</w:t>
            </w:r>
          </w:p>
        </w:tc>
        <w:tc>
          <w:tcPr>
            <w:tcW w:type="dxa" w:w="3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MOB6 &lt; target minus 2pts</w:t>
            </w:r>
          </w:p>
        </w:tc>
        <w:tc>
          <w:tcPr>
            <w:tcW w:type="dxa" w:w="1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Critical</w:t>
            </w:r>
          </w:p>
        </w:tc>
        <w:tc>
          <w:tcPr>
            <w:tcW w:type="dxa" w:w="31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Retention</w:t>
            </w:r>
          </w:p>
        </w:tc>
      </w:tr>
      <w:tr>
        <w:tc>
          <w:tcPr>
            <w:tcW w:type="dxa" w:w="2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Spend overrun</w:t>
            </w:r>
          </w:p>
        </w:tc>
        <w:tc>
          <w:tcPr>
            <w:tcW w:type="dxa" w:w="3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Any budget &gt; 110% of monthly plan</w:t>
            </w:r>
          </w:p>
        </w:tc>
        <w:tc>
          <w:tcPr>
            <w:tcW w:type="dxa" w:w="1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Critical</w:t>
            </w:r>
          </w:p>
        </w:tc>
        <w:tc>
          <w:tcPr>
            <w:tcW w:type="dxa" w:w="31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Spend Allocation</w:t>
            </w:r>
          </w:p>
        </w:tc>
      </w:tr>
      <w:tr>
        <w:tc>
          <w:tcPr>
            <w:tcW w:type="dxa" w:w="2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Funnel blockage</w:t>
            </w:r>
          </w:p>
        </w:tc>
        <w:tc>
          <w:tcPr>
            <w:tcW w:type="dxa" w:w="3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Any stage CVR drops &gt; 5pts WoW</w:t>
            </w:r>
          </w:p>
        </w:tc>
        <w:tc>
          <w:tcPr>
            <w:tcW w:type="dxa" w:w="1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Critical</w:t>
            </w:r>
          </w:p>
        </w:tc>
        <w:tc>
          <w:tcPr>
            <w:tcW w:type="dxa" w:w="31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Funnel</w:t>
            </w:r>
          </w:p>
        </w:tc>
      </w:tr>
      <w:tr>
        <w:tc>
          <w:tcPr>
            <w:tcW w:type="dxa" w:w="2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CPC spike</w:t>
            </w:r>
          </w:p>
        </w:tc>
        <w:tc>
          <w:tcPr>
            <w:tcW w:type="dxa" w:w="3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Non-branded CPC &gt; 2x benchmark</w:t>
            </w:r>
          </w:p>
        </w:tc>
        <w:tc>
          <w:tcPr>
            <w:tcW w:type="dxa" w:w="1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Warning</w:t>
            </w:r>
          </w:p>
        </w:tc>
        <w:tc>
          <w:tcPr>
            <w:tcW w:type="dxa" w:w="31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Paid Search</w:t>
            </w:r>
          </w:p>
        </w:tc>
      </w:tr>
      <w:tr>
        <w:tc>
          <w:tcPr>
            <w:tcW w:type="dxa" w:w="2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Frequency shortfall</w:t>
            </w:r>
          </w:p>
        </w:tc>
        <w:tc>
          <w:tcPr>
            <w:tcW w:type="dxa" w:w="3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Growth market below effective reach</w:t>
            </w:r>
          </w:p>
        </w:tc>
        <w:tc>
          <w:tcPr>
            <w:tcW w:type="dxa" w:w="1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Warning</w:t>
            </w:r>
          </w:p>
        </w:tc>
        <w:tc>
          <w:tcPr>
            <w:tcW w:type="dxa" w:w="31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Brand Media</w:t>
            </w:r>
          </w:p>
        </w:tc>
      </w:tr>
      <w:tr>
        <w:tc>
          <w:tcPr>
            <w:tcW w:type="dxa" w:w="2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Test stall</w:t>
            </w:r>
          </w:p>
        </w:tc>
        <w:tc>
          <w:tcPr>
            <w:tcW w:type="dxa" w:w="3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A/B test &gt; 30 days without significance</w:t>
            </w:r>
          </w:p>
        </w:tc>
        <w:tc>
          <w:tcPr>
            <w:tcW w:type="dxa" w:w="1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Warning</w:t>
            </w:r>
          </w:p>
        </w:tc>
        <w:tc>
          <w:tcPr>
            <w:tcW w:type="dxa" w:w="31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Product/Experience</w:t>
            </w:r>
          </w:p>
        </w:tc>
      </w:tr>
      <w:tr>
        <w:tc>
          <w:tcPr>
            <w:tcW w:type="dxa" w:w="2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Quality drift</w:t>
            </w:r>
          </w:p>
        </w:tc>
        <w:tc>
          <w:tcPr>
            <w:tcW w:type="dxa" w:w="3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Avg account quality score drops &gt; 10%</w:t>
            </w:r>
          </w:p>
        </w:tc>
        <w:tc>
          <w:tcPr>
            <w:tcW w:type="dxa" w:w="1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Warning</w:t>
            </w:r>
          </w:p>
        </w:tc>
        <w:tc>
          <w:tcPr>
            <w:tcW w:type="dxa" w:w="31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Retention</w:t>
            </w:r>
          </w:p>
        </w:tc>
      </w:tr>
      <w:tr>
        <w:tc>
          <w:tcPr>
            <w:tcW w:type="dxa" w:w="2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AEO decline</w:t>
            </w:r>
          </w:p>
        </w:tc>
        <w:tc>
          <w:tcPr>
            <w:tcW w:type="dxa" w:w="3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LLM Visibility mention rate drops &gt; 5pts MoM</w:t>
            </w:r>
          </w:p>
        </w:tc>
        <w:tc>
          <w:tcPr>
            <w:tcW w:type="dxa" w:w="1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Info</w:t>
            </w:r>
          </w:p>
        </w:tc>
        <w:tc>
          <w:tcPr>
            <w:tcW w:type="dxa" w:w="31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AEO</w:t>
            </w:r>
          </w:p>
        </w:tc>
      </w:tr>
      <w:tr>
        <w:tc>
          <w:tcPr>
            <w:tcW w:type="dxa" w:w="2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Content deployment</w:t>
            </w:r>
          </w:p>
        </w:tc>
        <w:tc>
          <w:tcPr>
            <w:tcW w:type="dxa" w:w="3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New optimization or article deployed</w:t>
            </w:r>
          </w:p>
        </w:tc>
        <w:tc>
          <w:tcPr>
            <w:tcW w:type="dxa" w:w="1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Info</w:t>
            </w:r>
          </w:p>
        </w:tc>
        <w:tc>
          <w:tcPr>
            <w:tcW w:type="dxa" w:w="31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AEO</w:t>
            </w:r>
          </w:p>
        </w:tc>
      </w:tr>
      <w:tr>
        <w:tc>
          <w:tcPr>
            <w:tcW w:type="dxa" w:w="2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System health</w:t>
            </w:r>
          </w:p>
        </w:tc>
        <w:tc>
          <w:tcPr>
            <w:tcW w:type="dxa" w:w="3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Behavioral data layer lag &gt; 4 hours</w:t>
            </w:r>
          </w:p>
        </w:tc>
        <w:tc>
          <w:tcPr>
            <w:tcW w:type="dxa" w:w="1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Warning</w:t>
            </w:r>
          </w:p>
        </w:tc>
        <w:tc>
          <w:tcPr>
            <w:tcW w:type="dxa" w:w="31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Operations</w:t>
            </w:r>
          </w:p>
        </w:tc>
      </w:tr>
    </w:tbl>
    <w:p>
      <w:pPr>
        <w:spacing w:after="200"/>
      </w:pPr>
    </w:p>
    <w:p>
      <w:r>
        <w:br w:type="page"/>
      </w:r>
    </w:p>
    <w:p>
      <w:pPr>
        <w:pStyle w:val="Heading1"/>
      </w:pPr>
      <w:r>
        <w:t xml:space="preserve">13. Implementation roadmap</w:t>
      </w:r>
    </w:p>
    <w:p>
      <w:pPr>
        <w:spacing w:after="200"/>
      </w:pPr>
    </w:p>
    <w:p>
      <w:pPr>
        <w:pStyle w:val="Heading2"/>
      </w:pPr>
      <w:r>
        <w:t xml:space="preserve">13.1 Phase 1: Foundation (weeks 1–6)</w:t>
      </w:r>
    </w:p>
    <w:p>
      <w:pPr>
        <w:spacing w:after="120"/>
      </w:pPr>
      <w:r>
        <w:rPr>
          <w:rFonts w:ascii="Libre Franklin" w:cs="Libre Franklin" w:eastAsia="Libre Franklin" w:hAnsi="Libre Franklin"/>
          <w:b/>
          <w:bCs/>
          <w:color w:val="303A42"/>
          <w:sz w:val="22"/>
          <w:szCs w:val="22"/>
        </w:rPr>
        <w:t xml:space="preserve">Goal: Core infrastructure + Executive Scorecard + Simulator MVP</w:t>
      </w:r>
    </w:p>
    <w:p>
      <w:pPr>
        <w:pStyle w:val="ListParagraph"/>
        <w:numPr>
          <w:ilvl w:val="0"/>
          <w:numId w:val="3"/>
        </w:numPr>
        <w:spacing w:after="60"/>
      </w:pPr>
      <w:r>
        <w:rPr>
          <w:rFonts w:ascii="Libre Franklin" w:cs="Libre Franklin" w:eastAsia="Libre Franklin" w:hAnsi="Libre Franklin"/>
          <w:color w:val="303A42"/>
          <w:sz w:val="22"/>
          <w:szCs w:val="22"/>
        </w:rPr>
        <w:t xml:space="preserve">Data lake schema and ingestion pipelines for top 5 source categories</w:t>
      </w:r>
    </w:p>
    <w:p>
      <w:pPr>
        <w:pStyle w:val="ListParagraph"/>
        <w:numPr>
          <w:ilvl w:val="0"/>
          <w:numId w:val="3"/>
        </w:numPr>
        <w:spacing w:after="60"/>
      </w:pPr>
      <w:r>
        <w:rPr>
          <w:rFonts w:ascii="Libre Franklin" w:cs="Libre Franklin" w:eastAsia="Libre Franklin" w:hAnsi="Libre Franklin"/>
          <w:color w:val="303A42"/>
          <w:sz w:val="22"/>
          <w:szCs w:val="22"/>
        </w:rPr>
        <w:t xml:space="preserve">Apex-Kamino directive bus architecture</w:t>
      </w:r>
    </w:p>
    <w:p>
      <w:pPr>
        <w:pStyle w:val="ListParagraph"/>
        <w:numPr>
          <w:ilvl w:val="0"/>
          <w:numId w:val="3"/>
        </w:numPr>
        <w:spacing w:after="60"/>
      </w:pPr>
      <w:r>
        <w:rPr>
          <w:rFonts w:ascii="Libre Franklin" w:cs="Libre Franklin" w:eastAsia="Libre Franklin" w:hAnsi="Libre Franklin"/>
          <w:color w:val="303A42"/>
          <w:sz w:val="22"/>
          <w:szCs w:val="22"/>
        </w:rPr>
        <w:t xml:space="preserve">Executive Scorecard module with configurable KPI panel</w:t>
      </w:r>
    </w:p>
    <w:p>
      <w:pPr>
        <w:pStyle w:val="ListParagraph"/>
        <w:numPr>
          <w:ilvl w:val="0"/>
          <w:numId w:val="3"/>
        </w:numPr>
        <w:spacing w:after="60"/>
      </w:pPr>
      <w:r>
        <w:rPr>
          <w:rFonts w:ascii="Libre Franklin" w:cs="Libre Franklin" w:eastAsia="Libre Franklin" w:hAnsi="Libre Franklin"/>
          <w:color w:val="303A42"/>
          <w:sz w:val="22"/>
          <w:szCs w:val="22"/>
        </w:rPr>
        <w:t xml:space="preserve">Simulator MVP: BD Mode with industry benchmarks, Layer 1 inputs, funnel waterfall output</w:t>
      </w:r>
    </w:p>
    <w:p>
      <w:pPr>
        <w:pStyle w:val="ListParagraph"/>
        <w:numPr>
          <w:ilvl w:val="0"/>
          <w:numId w:val="3"/>
        </w:numPr>
        <w:spacing w:after="60"/>
      </w:pPr>
      <w:r>
        <w:rPr>
          <w:rFonts w:ascii="Libre Franklin" w:cs="Libre Franklin" w:eastAsia="Libre Franklin" w:hAnsi="Libre Franklin"/>
          <w:color w:val="303A42"/>
          <w:sz w:val="22"/>
          <w:szCs w:val="22"/>
        </w:rPr>
        <w:t xml:space="preserve">Alert engine with Critical-severity rules</w:t>
      </w:r>
    </w:p>
    <w:p>
      <w:pPr>
        <w:pStyle w:val="ListParagraph"/>
        <w:numPr>
          <w:ilvl w:val="0"/>
          <w:numId w:val="3"/>
        </w:numPr>
        <w:spacing w:after="60"/>
      </w:pPr>
      <w:r>
        <w:rPr>
          <w:rFonts w:ascii="Libre Franklin" w:cs="Libre Franklin" w:eastAsia="Libre Franklin" w:hAnsi="Libre Franklin"/>
          <w:color w:val="303A42"/>
          <w:sz w:val="22"/>
          <w:szCs w:val="22"/>
        </w:rPr>
        <w:t xml:space="preserve">Authentication and role-based access (CMO, workstream leads, analysts, BD)</w:t>
      </w:r>
    </w:p>
    <w:p>
      <w:pPr>
        <w:spacing w:after="200"/>
      </w:pPr>
    </w:p>
    <w:p>
      <w:pPr>
        <w:pStyle w:val="Heading2"/>
      </w:pPr>
      <w:r>
        <w:t xml:space="preserve">13.2 Phase 2: Allocation &amp; funnel (weeks 7–12)</w:t>
      </w:r>
    </w:p>
    <w:p>
      <w:pPr>
        <w:spacing w:after="120"/>
      </w:pPr>
      <w:r>
        <w:rPr>
          <w:rFonts w:ascii="Libre Franklin" w:cs="Libre Franklin" w:eastAsia="Libre Franklin" w:hAnsi="Libre Franklin"/>
          <w:b/>
          <w:bCs/>
          <w:color w:val="303A42"/>
          <w:sz w:val="22"/>
          <w:szCs w:val="22"/>
        </w:rPr>
        <w:t xml:space="preserve">Goal: CMO spend control + funnel visibility + Simulator Client Mode</w:t>
      </w:r>
    </w:p>
    <w:p>
      <w:pPr>
        <w:pStyle w:val="ListParagraph"/>
        <w:numPr>
          <w:ilvl w:val="0"/>
          <w:numId w:val="3"/>
        </w:numPr>
        <w:spacing w:after="60"/>
      </w:pPr>
      <w:r>
        <w:rPr>
          <w:rFonts w:ascii="Libre Franklin" w:cs="Libre Franklin" w:eastAsia="Libre Franklin" w:hAnsi="Libre Franklin"/>
          <w:color w:val="303A42"/>
          <w:sz w:val="22"/>
          <w:szCs w:val="22"/>
        </w:rPr>
        <w:t xml:space="preserve">Spend Allocation module with channel mix controls and geographic market matrix</w:t>
      </w:r>
    </w:p>
    <w:p>
      <w:pPr>
        <w:pStyle w:val="ListParagraph"/>
        <w:numPr>
          <w:ilvl w:val="0"/>
          <w:numId w:val="3"/>
        </w:numPr>
        <w:spacing w:after="60"/>
      </w:pPr>
      <w:r>
        <w:rPr>
          <w:rFonts w:ascii="Libre Franklin" w:cs="Libre Franklin" w:eastAsia="Libre Franklin" w:hAnsi="Libre Franklin"/>
          <w:color w:val="303A42"/>
          <w:sz w:val="22"/>
          <w:szCs w:val="22"/>
        </w:rPr>
        <w:t xml:space="preserve">Acquisition Funnel module with 6-stage visualization</w:t>
      </w:r>
    </w:p>
    <w:p>
      <w:pPr>
        <w:pStyle w:val="ListParagraph"/>
        <w:numPr>
          <w:ilvl w:val="0"/>
          <w:numId w:val="3"/>
        </w:numPr>
        <w:spacing w:after="60"/>
      </w:pPr>
      <w:r>
        <w:rPr>
          <w:rFonts w:ascii="Libre Franklin" w:cs="Libre Franklin" w:eastAsia="Libre Franklin" w:hAnsi="Libre Franklin"/>
          <w:color w:val="303A42"/>
          <w:sz w:val="22"/>
          <w:szCs w:val="22"/>
        </w:rPr>
        <w:t xml:space="preserve">Simulator Client Mode: live data integration, scenario comparison, commit-to-Kamino bridge</w:t>
      </w:r>
    </w:p>
    <w:p>
      <w:pPr>
        <w:pStyle w:val="ListParagraph"/>
        <w:numPr>
          <w:ilvl w:val="0"/>
          <w:numId w:val="3"/>
        </w:numPr>
        <w:spacing w:after="60"/>
      </w:pPr>
      <w:r>
        <w:rPr>
          <w:rFonts w:ascii="Libre Franklin" w:cs="Libre Franklin" w:eastAsia="Libre Franklin" w:hAnsi="Libre Franklin"/>
          <w:color w:val="303A42"/>
          <w:sz w:val="22"/>
          <w:szCs w:val="22"/>
        </w:rPr>
        <w:t xml:space="preserve">Simulator Layer 2 drill-in for all 6 budget buckets</w:t>
      </w:r>
    </w:p>
    <w:p>
      <w:pPr>
        <w:pStyle w:val="ListParagraph"/>
        <w:numPr>
          <w:ilvl w:val="0"/>
          <w:numId w:val="3"/>
        </w:numPr>
        <w:spacing w:after="60"/>
      </w:pPr>
      <w:r>
        <w:rPr>
          <w:rFonts w:ascii="Libre Franklin" w:cs="Libre Franklin" w:eastAsia="Libre Franklin" w:hAnsi="Libre Franklin"/>
          <w:color w:val="303A42"/>
          <w:sz w:val="22"/>
          <w:szCs w:val="22"/>
        </w:rPr>
        <w:t xml:space="preserve">Landing page performance and personalization monitor</w:t>
      </w:r>
    </w:p>
    <w:p>
      <w:pPr>
        <w:spacing w:after="200"/>
      </w:pPr>
    </w:p>
    <w:p>
      <w:pPr>
        <w:pStyle w:val="Heading2"/>
      </w:pPr>
      <w:r>
        <w:t xml:space="preserve">13.3 Phase 3: Retention &amp; organic (weeks 13–18)</w:t>
      </w:r>
    </w:p>
    <w:p>
      <w:pPr>
        <w:spacing w:after="120"/>
      </w:pPr>
      <w:r>
        <w:rPr>
          <w:rFonts w:ascii="Libre Franklin" w:cs="Libre Franklin" w:eastAsia="Libre Franklin" w:hAnsi="Libre Franklin"/>
          <w:b/>
          <w:bCs/>
          <w:color w:val="303A42"/>
          <w:sz w:val="22"/>
          <w:szCs w:val="22"/>
        </w:rPr>
        <w:t xml:space="preserve">Goal: Full retention visibility + AEO intelligence + Simulator sensitivity analysis</w:t>
      </w:r>
    </w:p>
    <w:p>
      <w:pPr>
        <w:pStyle w:val="ListParagraph"/>
        <w:numPr>
          <w:ilvl w:val="0"/>
          <w:numId w:val="3"/>
        </w:numPr>
        <w:spacing w:after="60"/>
      </w:pPr>
      <w:r>
        <w:rPr>
          <w:rFonts w:ascii="Libre Franklin" w:cs="Libre Franklin" w:eastAsia="Libre Franklin" w:hAnsi="Libre Franklin"/>
          <w:color w:val="303A42"/>
          <w:sz w:val="22"/>
          <w:szCs w:val="22"/>
        </w:rPr>
        <w:t xml:space="preserve">Onboarding &amp; Retention module with PFI flywheel, cohort analysis, geo-heat map</w:t>
      </w:r>
    </w:p>
    <w:p>
      <w:pPr>
        <w:pStyle w:val="ListParagraph"/>
        <w:numPr>
          <w:ilvl w:val="0"/>
          <w:numId w:val="3"/>
        </w:numPr>
        <w:spacing w:after="60"/>
      </w:pPr>
      <w:r>
        <w:rPr>
          <w:rFonts w:ascii="Libre Franklin" w:cs="Libre Franklin" w:eastAsia="Libre Franklin" w:hAnsi="Libre Franklin"/>
          <w:color w:val="303A42"/>
          <w:sz w:val="22"/>
          <w:szCs w:val="22"/>
        </w:rPr>
        <w:t xml:space="preserve">Offer engine integration</w:t>
      </w:r>
    </w:p>
    <w:p>
      <w:pPr>
        <w:pStyle w:val="ListParagraph"/>
        <w:numPr>
          <w:ilvl w:val="0"/>
          <w:numId w:val="3"/>
        </w:numPr>
        <w:spacing w:after="60"/>
      </w:pPr>
      <w:r>
        <w:rPr>
          <w:rFonts w:ascii="Libre Franklin" w:cs="Libre Franklin" w:eastAsia="Libre Franklin" w:hAnsi="Libre Franklin"/>
          <w:color w:val="303A42"/>
          <w:sz w:val="22"/>
          <w:szCs w:val="22"/>
        </w:rPr>
        <w:t xml:space="preserve">Behavioral trigger monitor</w:t>
      </w:r>
    </w:p>
    <w:p>
      <w:pPr>
        <w:pStyle w:val="ListParagraph"/>
        <w:numPr>
          <w:ilvl w:val="0"/>
          <w:numId w:val="3"/>
        </w:numPr>
        <w:spacing w:after="60"/>
      </w:pPr>
      <w:r>
        <w:rPr>
          <w:rFonts w:ascii="Libre Franklin" w:cs="Libre Franklin" w:eastAsia="Libre Franklin" w:hAnsi="Libre Franklin"/>
          <w:color w:val="303A42"/>
          <w:sz w:val="22"/>
          <w:szCs w:val="22"/>
        </w:rPr>
        <w:t xml:space="preserve">AEO / Organic Intelligence module with LLM Visibility Score dashboard</w:t>
      </w:r>
    </w:p>
    <w:p>
      <w:pPr>
        <w:pStyle w:val="ListParagraph"/>
        <w:numPr>
          <w:ilvl w:val="0"/>
          <w:numId w:val="3"/>
        </w:numPr>
        <w:spacing w:after="60"/>
      </w:pPr>
      <w:r>
        <w:rPr>
          <w:rFonts w:ascii="Libre Franklin" w:cs="Libre Franklin" w:eastAsia="Libre Franklin" w:hAnsi="Libre Franklin"/>
          <w:color w:val="303A42"/>
          <w:sz w:val="22"/>
          <w:szCs w:val="22"/>
        </w:rPr>
        <w:t xml:space="preserve">Competitive AEO benchmarking</w:t>
      </w:r>
    </w:p>
    <w:p>
      <w:pPr>
        <w:pStyle w:val="ListParagraph"/>
        <w:numPr>
          <w:ilvl w:val="0"/>
          <w:numId w:val="3"/>
        </w:numPr>
        <w:spacing w:after="60"/>
      </w:pPr>
      <w:r>
        <w:rPr>
          <w:rFonts w:ascii="Libre Franklin" w:cs="Libre Franklin" w:eastAsia="Libre Franklin" w:hAnsi="Libre Franklin"/>
          <w:color w:val="303A42"/>
          <w:sz w:val="22"/>
          <w:szCs w:val="22"/>
        </w:rPr>
        <w:t xml:space="preserve">Simulator: sensitivity analysis panel, preset templates</w:t>
      </w:r>
    </w:p>
    <w:p>
      <w:pPr>
        <w:spacing w:after="200"/>
      </w:pPr>
    </w:p>
    <w:p>
      <w:pPr>
        <w:pStyle w:val="Heading2"/>
      </w:pPr>
      <w:r>
        <w:t xml:space="preserve">13.4 Phase 4: Paid channels &amp; products (weeks 19–24)</w:t>
      </w:r>
    </w:p>
    <w:p>
      <w:pPr>
        <w:spacing w:after="120"/>
      </w:pPr>
      <w:r>
        <w:rPr>
          <w:rFonts w:ascii="Libre Franklin" w:cs="Libre Franklin" w:eastAsia="Libre Franklin" w:hAnsi="Libre Franklin"/>
          <w:b/>
          <w:bCs/>
          <w:color w:val="303A42"/>
          <w:sz w:val="22"/>
          <w:szCs w:val="22"/>
        </w:rPr>
        <w:t xml:space="preserve">Goal: Complete channel-level visibility + BD tooling</w:t>
      </w:r>
    </w:p>
    <w:p>
      <w:pPr>
        <w:pStyle w:val="ListParagraph"/>
        <w:numPr>
          <w:ilvl w:val="0"/>
          <w:numId w:val="3"/>
        </w:numPr>
        <w:spacing w:after="60"/>
      </w:pPr>
      <w:r>
        <w:rPr>
          <w:rFonts w:ascii="Libre Franklin" w:cs="Libre Franklin" w:eastAsia="Libre Franklin" w:hAnsi="Libre Franklin"/>
          <w:color w:val="303A42"/>
          <w:sz w:val="22"/>
          <w:szCs w:val="22"/>
        </w:rPr>
        <w:t xml:space="preserve">Paid Search, Paid Social, and Brand Media dashboards</w:t>
      </w:r>
    </w:p>
    <w:p>
      <w:pPr>
        <w:pStyle w:val="ListParagraph"/>
        <w:numPr>
          <w:ilvl w:val="0"/>
          <w:numId w:val="3"/>
        </w:numPr>
        <w:spacing w:after="60"/>
      </w:pPr>
      <w:r>
        <w:rPr>
          <w:rFonts w:ascii="Libre Franklin" w:cs="Libre Franklin" w:eastAsia="Libre Franklin" w:hAnsi="Libre Franklin"/>
          <w:color w:val="303A42"/>
          <w:sz w:val="22"/>
          <w:szCs w:val="22"/>
        </w:rPr>
        <w:t xml:space="preserve">Life Event and Mover campaign trackers</w:t>
      </w:r>
    </w:p>
    <w:p>
      <w:pPr>
        <w:pStyle w:val="ListParagraph"/>
        <w:numPr>
          <w:ilvl w:val="0"/>
          <w:numId w:val="3"/>
        </w:numPr>
        <w:spacing w:after="60"/>
      </w:pPr>
      <w:r>
        <w:rPr>
          <w:rFonts w:ascii="Libre Franklin" w:cs="Libre Franklin" w:eastAsia="Libre Franklin" w:hAnsi="Libre Franklin"/>
          <w:color w:val="303A42"/>
          <w:sz w:val="22"/>
          <w:szCs w:val="22"/>
        </w:rPr>
        <w:t xml:space="preserve">Product pipeline and digital transformation tracker</w:t>
      </w:r>
    </w:p>
    <w:p>
      <w:pPr>
        <w:pStyle w:val="ListParagraph"/>
        <w:numPr>
          <w:ilvl w:val="0"/>
          <w:numId w:val="3"/>
        </w:numPr>
        <w:spacing w:after="60"/>
      </w:pPr>
      <w:r>
        <w:rPr>
          <w:rFonts w:ascii="Libre Franklin" w:cs="Libre Franklin" w:eastAsia="Libre Franklin" w:hAnsi="Libre Franklin"/>
          <w:color w:val="303A42"/>
          <w:sz w:val="22"/>
          <w:szCs w:val="22"/>
        </w:rPr>
        <w:t xml:space="preserve">Simulator: before/after toggle for BD, prospect data auto-population (FDIC, SimilarWeb, Sensor Tower)</w:t>
      </w:r>
    </w:p>
    <w:p>
      <w:pPr>
        <w:spacing w:after="200"/>
      </w:pPr>
    </w:p>
    <w:p>
      <w:pPr>
        <w:pStyle w:val="Heading2"/>
      </w:pPr>
      <w:r>
        <w:t xml:space="preserve">13.5 Phase 5: Operations &amp; polish (weeks 25–30)</w:t>
      </w:r>
    </w:p>
    <w:p>
      <w:pPr>
        <w:spacing w:after="120"/>
      </w:pPr>
      <w:r>
        <w:rPr>
          <w:rFonts w:ascii="Libre Franklin" w:cs="Libre Franklin" w:eastAsia="Libre Franklin" w:hAnsi="Libre Franklin"/>
          <w:b/>
          <w:bCs/>
          <w:color w:val="303A42"/>
          <w:sz w:val="22"/>
          <w:szCs w:val="22"/>
        </w:rPr>
        <w:t xml:space="preserve">Goal: Full operational command + production hardening</w:t>
      </w:r>
    </w:p>
    <w:p>
      <w:pPr>
        <w:pStyle w:val="ListParagraph"/>
        <w:numPr>
          <w:ilvl w:val="0"/>
          <w:numId w:val="3"/>
        </w:numPr>
        <w:spacing w:after="60"/>
      </w:pPr>
      <w:r>
        <w:rPr>
          <w:rFonts w:ascii="Libre Franklin" w:cs="Libre Franklin" w:eastAsia="Libre Franklin" w:hAnsi="Libre Franklin"/>
          <w:color w:val="303A42"/>
          <w:sz w:val="22"/>
          <w:szCs w:val="22"/>
        </w:rPr>
        <w:t xml:space="preserve">Operations Command module (calendar, capacity, approvals, system health)</w:t>
      </w:r>
    </w:p>
    <w:p>
      <w:pPr>
        <w:pStyle w:val="ListParagraph"/>
        <w:numPr>
          <w:ilvl w:val="0"/>
          <w:numId w:val="3"/>
        </w:numPr>
        <w:spacing w:after="60"/>
      </w:pPr>
      <w:r>
        <w:rPr>
          <w:rFonts w:ascii="Libre Franklin" w:cs="Libre Franklin" w:eastAsia="Libre Franklin" w:hAnsi="Libre Franklin"/>
          <w:color w:val="303A42"/>
          <w:sz w:val="22"/>
          <w:szCs w:val="22"/>
        </w:rPr>
        <w:t xml:space="preserve">Competitive intelligence feed</w:t>
      </w:r>
    </w:p>
    <w:p>
      <w:pPr>
        <w:pStyle w:val="ListParagraph"/>
        <w:numPr>
          <w:ilvl w:val="0"/>
          <w:numId w:val="3"/>
        </w:numPr>
        <w:spacing w:after="60"/>
      </w:pPr>
      <w:r>
        <w:rPr>
          <w:rFonts w:ascii="Libre Franklin" w:cs="Libre Franklin" w:eastAsia="Libre Franklin" w:hAnsi="Libre Franklin"/>
          <w:color w:val="303A42"/>
          <w:sz w:val="22"/>
          <w:szCs w:val="22"/>
        </w:rPr>
        <w:t xml:space="preserve">Scenario modeling v2 (ML-powered projections using historical attribution data)</w:t>
      </w:r>
    </w:p>
    <w:p>
      <w:pPr>
        <w:pStyle w:val="ListParagraph"/>
        <w:numPr>
          <w:ilvl w:val="0"/>
          <w:numId w:val="3"/>
        </w:numPr>
        <w:spacing w:after="60"/>
      </w:pPr>
      <w:r>
        <w:rPr>
          <w:rFonts w:ascii="Libre Franklin" w:cs="Libre Franklin" w:eastAsia="Libre Franklin" w:hAnsi="Libre Franklin"/>
          <w:color w:val="303A42"/>
          <w:sz w:val="22"/>
          <w:szCs w:val="22"/>
        </w:rPr>
        <w:t xml:space="preserve">Custom report builder for MBR/QBR deck generation</w:t>
      </w:r>
    </w:p>
    <w:p>
      <w:pPr>
        <w:pStyle w:val="ListParagraph"/>
        <w:numPr>
          <w:ilvl w:val="0"/>
          <w:numId w:val="3"/>
        </w:numPr>
        <w:spacing w:after="60"/>
      </w:pPr>
      <w:r>
        <w:rPr>
          <w:rFonts w:ascii="Libre Franklin" w:cs="Libre Franklin" w:eastAsia="Libre Franklin" w:hAnsi="Libre Franklin"/>
          <w:color w:val="303A42"/>
          <w:sz w:val="22"/>
          <w:szCs w:val="22"/>
        </w:rPr>
        <w:t xml:space="preserve">Mobile-responsive views</w:t>
      </w:r>
    </w:p>
    <w:p>
      <w:pPr>
        <w:pStyle w:val="ListParagraph"/>
        <w:numPr>
          <w:ilvl w:val="0"/>
          <w:numId w:val="3"/>
        </w:numPr>
        <w:spacing w:after="60"/>
      </w:pPr>
      <w:r>
        <w:rPr>
          <w:rFonts w:ascii="Libre Franklin" w:cs="Libre Franklin" w:eastAsia="Libre Franklin" w:hAnsi="Libre Franklin"/>
          <w:color w:val="303A42"/>
          <w:sz w:val="22"/>
          <w:szCs w:val="22"/>
        </w:rPr>
        <w:t xml:space="preserve">Full test cycle and UAT</w:t>
      </w:r>
    </w:p>
    <w:p>
      <w:pPr>
        <w:spacing w:after="200"/>
      </w:pPr>
    </w:p>
    <w:p>
      <w:r>
        <w:br w:type="page"/>
      </w:r>
    </w:p>
    <w:p>
      <w:pPr>
        <w:pStyle w:val="Heading1"/>
      </w:pPr>
      <w:r>
        <w:t xml:space="preserve">14. Success criteria</w:t>
      </w:r>
    </w:p>
    <w:p>
      <w:pPr>
        <w:spacing w:after="200"/>
      </w:pPr>
    </w:p>
    <w:p>
      <w:pPr>
        <w:pStyle w:val="Heading2"/>
      </w:pPr>
      <w:r>
        <w:t xml:space="preserve">14.1 Quantitative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Metric</w:t>
            </w:r>
          </w:p>
        </w:tc>
        <w:tc>
          <w:tcPr>
            <w:tcW w:type="dxa" w:w="30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Target</w:t>
            </w:r>
          </w:p>
        </w:tc>
        <w:tc>
          <w:tcPr>
            <w:tcW w:type="dxa" w:w="356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Measurement</w:t>
            </w:r>
          </w:p>
        </w:tc>
      </w:tr>
      <w:tr>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Time to daily status check</w:t>
            </w:r>
          </w:p>
        </w:tc>
        <w:tc>
          <w:tcPr>
            <w:tcW w:type="dxa" w:w="3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&lt; 2 minutes (from ~30 min)</w:t>
            </w:r>
          </w:p>
        </w:tc>
        <w:tc>
          <w:tcPr>
            <w:tcW w:type="dxa" w:w="3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Session timer</w:t>
            </w:r>
          </w:p>
        </w:tc>
      </w:tr>
      <w:tr>
        <w:tc>
          <w:tcPr>
            <w:tcW w:type="dxa" w:w="2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Budget reallocation cycle time</w:t>
            </w:r>
          </w:p>
        </w:tc>
        <w:tc>
          <w:tcPr>
            <w:tcW w:type="dxa" w:w="3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&lt; 1 hour (from ~2–3 days)</w:t>
            </w:r>
          </w:p>
        </w:tc>
        <w:tc>
          <w:tcPr>
            <w:tcW w:type="dxa" w:w="3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Directive bus timestamps</w:t>
            </w:r>
          </w:p>
        </w:tc>
      </w:tr>
      <w:tr>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Alert-to-action latency</w:t>
            </w:r>
          </w:p>
        </w:tc>
        <w:tc>
          <w:tcPr>
            <w:tcW w:type="dxa" w:w="3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&lt; 4 hours for Critical alerts</w:t>
            </w:r>
          </w:p>
        </w:tc>
        <w:tc>
          <w:tcPr>
            <w:tcW w:type="dxa" w:w="3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Alert acknowledgment timestamps</w:t>
            </w:r>
          </w:p>
        </w:tc>
      </w:tr>
      <w:tr>
        <w:tc>
          <w:tcPr>
            <w:tcW w:type="dxa" w:w="2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MBR/QBR deck prep time</w:t>
            </w:r>
          </w:p>
        </w:tc>
        <w:tc>
          <w:tcPr>
            <w:tcW w:type="dxa" w:w="3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&lt; 2 hours (from ~8–12 hours)</w:t>
            </w:r>
          </w:p>
        </w:tc>
        <w:tc>
          <w:tcPr>
            <w:tcW w:type="dxa" w:w="3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Report generation timestamps</w:t>
            </w:r>
          </w:p>
        </w:tc>
      </w:tr>
      <w:tr>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Data freshness</w:t>
            </w:r>
          </w:p>
        </w:tc>
        <w:tc>
          <w:tcPr>
            <w:tcW w:type="dxa" w:w="3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All KPIs &lt; 24 hours; spend data &lt; 1 hour</w:t>
            </w:r>
          </w:p>
        </w:tc>
        <w:tc>
          <w:tcPr>
            <w:tcW w:type="dxa" w:w="3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Pipeline monitoring</w:t>
            </w:r>
          </w:p>
        </w:tc>
      </w:tr>
      <w:tr>
        <w:tc>
          <w:tcPr>
            <w:tcW w:type="dxa" w:w="28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BD pitch setup time (Simulator)</w:t>
            </w:r>
          </w:p>
        </w:tc>
        <w:tc>
          <w:tcPr>
            <w:tcW w:type="dxa" w:w="30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&lt; 5 minutes per prospect</w:t>
            </w:r>
          </w:p>
        </w:tc>
        <w:tc>
          <w:tcPr>
            <w:tcW w:type="dxa" w:w="35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Simulator session timer</w:t>
            </w:r>
          </w:p>
        </w:tc>
      </w:tr>
      <w:tr>
        <w:tc>
          <w:tcPr>
            <w:tcW w:type="dxa" w:w="28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Simulator scenario creation</w:t>
            </w:r>
          </w:p>
        </w:tc>
        <w:tc>
          <w:tcPr>
            <w:tcW w:type="dxa" w:w="30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&lt; 3 minutes per scenario</w:t>
            </w:r>
          </w:p>
        </w:tc>
        <w:tc>
          <w:tcPr>
            <w:tcW w:type="dxa" w:w="35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Simulator session timer</w:t>
            </w:r>
          </w:p>
        </w:tc>
      </w:tr>
    </w:tbl>
    <w:p>
      <w:pPr>
        <w:spacing w:after="200"/>
      </w:pPr>
    </w:p>
    <w:p>
      <w:pPr>
        <w:pStyle w:val="Heading2"/>
      </w:pPr>
      <w:r>
        <w:t xml:space="preserve">14.2 Qualitative targets</w:t>
      </w:r>
    </w:p>
    <w:p>
      <w:pPr>
        <w:pStyle w:val="ListParagraph"/>
        <w:numPr>
          <w:ilvl w:val="0"/>
          <w:numId w:val="3"/>
        </w:numPr>
        <w:spacing w:after="60"/>
      </w:pPr>
      <w:r>
        <w:rPr>
          <w:rFonts w:ascii="Libre Franklin" w:cs="Libre Franklin" w:eastAsia="Libre Franklin" w:hAnsi="Libre Franklin"/>
          <w:color w:val="303A42"/>
          <w:sz w:val="22"/>
          <w:szCs w:val="22"/>
        </w:rPr>
        <w:t xml:space="preserve">CMO can answer any engagement performance question without leaving Apex</w:t>
      </w:r>
    </w:p>
    <w:p>
      <w:pPr>
        <w:pStyle w:val="ListParagraph"/>
        <w:numPr>
          <w:ilvl w:val="0"/>
          <w:numId w:val="3"/>
        </w:numPr>
        <w:spacing w:after="60"/>
      </w:pPr>
      <w:r>
        <w:rPr>
          <w:rFonts w:ascii="Libre Franklin" w:cs="Libre Franklin" w:eastAsia="Libre Franklin" w:hAnsi="Libre Franklin"/>
          <w:color w:val="303A42"/>
          <w:sz w:val="22"/>
          <w:szCs w:val="22"/>
        </w:rPr>
        <w:t xml:space="preserve">No manual data pulls required for routine reporting</w:t>
      </w:r>
    </w:p>
    <w:p>
      <w:pPr>
        <w:pStyle w:val="ListParagraph"/>
        <w:numPr>
          <w:ilvl w:val="0"/>
          <w:numId w:val="3"/>
        </w:numPr>
        <w:spacing w:after="60"/>
      </w:pPr>
      <w:r>
        <w:rPr>
          <w:rFonts w:ascii="Libre Franklin" w:cs="Libre Franklin" w:eastAsia="Libre Franklin" w:hAnsi="Libre Franklin"/>
          <w:color w:val="303A42"/>
          <w:sz w:val="22"/>
          <w:szCs w:val="22"/>
        </w:rPr>
        <w:t xml:space="preserve">Every RVGT full-funnel strategy workstream has a corresponding Apex module or sub-view</w:t>
      </w:r>
    </w:p>
    <w:p>
      <w:pPr>
        <w:pStyle w:val="ListParagraph"/>
        <w:numPr>
          <w:ilvl w:val="0"/>
          <w:numId w:val="3"/>
        </w:numPr>
        <w:spacing w:after="60"/>
      </w:pPr>
      <w:r>
        <w:rPr>
          <w:rFonts w:ascii="Libre Franklin" w:cs="Libre Franklin" w:eastAsia="Libre Franklin" w:hAnsi="Libre Franklin"/>
          <w:color w:val="303A42"/>
          <w:sz w:val="22"/>
          <w:szCs w:val="22"/>
        </w:rPr>
        <w:t xml:space="preserve">Kamino handles 100% of routine execution; CMO interacts only through Apex directives</w:t>
      </w:r>
    </w:p>
    <w:p>
      <w:pPr>
        <w:pStyle w:val="ListParagraph"/>
        <w:numPr>
          <w:ilvl w:val="0"/>
          <w:numId w:val="3"/>
        </w:numPr>
        <w:spacing w:after="60"/>
      </w:pPr>
      <w:r>
        <w:rPr>
          <w:rFonts w:ascii="Libre Franklin" w:cs="Libre Franklin" w:eastAsia="Libre Franklin" w:hAnsi="Libre Franklin"/>
          <w:color w:val="303A42"/>
          <w:sz w:val="22"/>
          <w:szCs w:val="22"/>
        </w:rPr>
        <w:t xml:space="preserve">Alert engine catches anomalies before they appear in monthly reviews</w:t>
      </w:r>
    </w:p>
    <w:p>
      <w:pPr>
        <w:pStyle w:val="ListParagraph"/>
        <w:numPr>
          <w:ilvl w:val="0"/>
          <w:numId w:val="3"/>
        </w:numPr>
        <w:spacing w:after="60"/>
      </w:pPr>
      <w:r>
        <w:rPr>
          <w:rFonts w:ascii="Libre Franklin" w:cs="Libre Franklin" w:eastAsia="Libre Franklin" w:hAnsi="Libre Franklin"/>
          <w:color w:val="303A42"/>
          <w:sz w:val="22"/>
          <w:szCs w:val="22"/>
        </w:rPr>
        <w:t xml:space="preserve">BD team can run a compelling prospect-specific simulation in a live pitch meeting</w:t>
      </w:r>
    </w:p>
    <w:p>
      <w:pPr>
        <w:pStyle w:val="ListParagraph"/>
        <w:numPr>
          <w:ilvl w:val="0"/>
          <w:numId w:val="3"/>
        </w:numPr>
        <w:spacing w:after="60"/>
      </w:pPr>
      <w:r>
        <w:rPr>
          <w:rFonts w:ascii="Libre Franklin" w:cs="Libre Franklin" w:eastAsia="Libre Franklin" w:hAnsi="Libre Franklin"/>
          <w:color w:val="303A42"/>
          <w:sz w:val="22"/>
          <w:szCs w:val="22"/>
        </w:rPr>
        <w:t xml:space="preserve">Simulator scenarios are credible enough to anchor pricing conversations</w:t>
      </w:r>
    </w:p>
    <w:p>
      <w:pPr>
        <w:spacing w:after="200"/>
      </w:pPr>
    </w:p>
    <w:p>
      <w:r>
        <w:br w:type="page"/>
      </w:r>
    </w:p>
    <w:p>
      <w:pPr>
        <w:pStyle w:val="Heading1"/>
      </w:pPr>
      <w:r>
        <w:t xml:space="preserve">15. Appendix: Strategy-to-module mapping</w:t>
      </w:r>
    </w:p>
    <w:p>
      <w:pPr>
        <w:spacing w:after="120"/>
      </w:pPr>
      <w:r>
        <w:rPr>
          <w:rFonts w:ascii="Libre Franklin" w:cs="Libre Franklin" w:eastAsia="Libre Franklin" w:hAnsi="Libre Franklin"/>
          <w:color w:val="303A42"/>
          <w:sz w:val="22"/>
          <w:szCs w:val="22"/>
        </w:rPr>
        <w:t xml:space="preserve">Cross-reference showing how each element of RVGT’s standard full-funnel marketing strategy maps to Apex modules: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Strategy Workstream</w:t>
            </w:r>
          </w:p>
        </w:tc>
        <w:tc>
          <w:tcPr>
            <w:tcW w:type="dxa" w:w="320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Primary Module</w:t>
            </w:r>
          </w:p>
        </w:tc>
        <w:tc>
          <w:tcPr>
            <w:tcW w:type="dxa" w:w="2960"/>
            <w:tcBorders>
              <w:top w:val="single" w:color="D4DBE0" w:sz="1"/>
              <w:left w:val="single" w:color="D4DBE0" w:sz="1"/>
              <w:bottom w:val="single" w:color="D4DBE0" w:sz="1"/>
              <w:right w:val="single" w:color="D4DBE0" w:sz="1"/>
            </w:tcBorders>
            <w:shd w:fill="303A42" w:val="clear"/>
            <w:tcMar>
              <w:top w:type="dxa" w:w="60"/>
              <w:left w:type="dxa" w:w="100"/>
              <w:bottom w:type="dxa" w:w="60"/>
              <w:right w:type="dxa" w:w="100"/>
            </w:tcMar>
            <w:vAlign w:val="center"/>
          </w:tcPr>
          <w:p>
            <w:r>
              <w:rPr>
                <w:rFonts w:ascii="Libre Franklin" w:cs="Libre Franklin" w:eastAsia="Libre Franklin" w:hAnsi="Libre Franklin"/>
                <w:b/>
                <w:bCs/>
                <w:color w:val="F1F4F7"/>
                <w:sz w:val="20"/>
                <w:szCs w:val="20"/>
              </w:rPr>
              <w:t xml:space="preserve">Secondary Module(s)</w:t>
            </w:r>
          </w:p>
        </w:tc>
      </w:tr>
      <w:tr>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Mass Marketing / Brand Media</w:t>
            </w:r>
          </w:p>
        </w:tc>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Paid Channels (Brand)</w:t>
            </w:r>
          </w:p>
        </w:tc>
        <w:tc>
          <w:tcPr>
            <w:tcW w:type="dxa" w:w="29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Spend Allocation, Scorecard, Simulator</w:t>
            </w:r>
          </w:p>
        </w:tc>
      </w:tr>
      <w:tr>
        <w:tc>
          <w:tcPr>
            <w:tcW w:type="dxa" w:w="3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High-Value Segment Strategy</w:t>
            </w:r>
          </w:p>
        </w:tc>
        <w:tc>
          <w:tcPr>
            <w:tcW w:type="dxa" w:w="3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Paid Channels (Life Event)</w:t>
            </w:r>
          </w:p>
        </w:tc>
        <w:tc>
          <w:tcPr>
            <w:tcW w:type="dxa" w:w="29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Spend Allocation, Simulator</w:t>
            </w:r>
          </w:p>
        </w:tc>
      </w:tr>
      <w:tr>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Paid Social</w:t>
            </w:r>
          </w:p>
        </w:tc>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Paid Channels (Social)</w:t>
            </w:r>
          </w:p>
        </w:tc>
        <w:tc>
          <w:tcPr>
            <w:tcW w:type="dxa" w:w="29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Spend Allocation, Funnel, Simulator</w:t>
            </w:r>
          </w:p>
        </w:tc>
      </w:tr>
      <w:tr>
        <w:tc>
          <w:tcPr>
            <w:tcW w:type="dxa" w:w="3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Paid Search + SEO/AEO</w:t>
            </w:r>
          </w:p>
        </w:tc>
        <w:tc>
          <w:tcPr>
            <w:tcW w:type="dxa" w:w="3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Paid Channels (SEM) + AEO</w:t>
            </w:r>
          </w:p>
        </w:tc>
        <w:tc>
          <w:tcPr>
            <w:tcW w:type="dxa" w:w="29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Scorecard, Simulator</w:t>
            </w:r>
          </w:p>
        </w:tc>
      </w:tr>
      <w:tr>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Conversion / Site Experience</w:t>
            </w:r>
          </w:p>
        </w:tc>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Acquisition Funnel</w:t>
            </w:r>
          </w:p>
        </w:tc>
        <w:tc>
          <w:tcPr>
            <w:tcW w:type="dxa" w:w="29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Product/Experience, Simulator</w:t>
            </w:r>
          </w:p>
        </w:tc>
      </w:tr>
      <w:tr>
        <w:tc>
          <w:tcPr>
            <w:tcW w:type="dxa" w:w="3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Application Flow Optimization</w:t>
            </w:r>
          </w:p>
        </w:tc>
        <w:tc>
          <w:tcPr>
            <w:tcW w:type="dxa" w:w="3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Acquisition Funnel</w:t>
            </w:r>
          </w:p>
        </w:tc>
        <w:tc>
          <w:tcPr>
            <w:tcW w:type="dxa" w:w="29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Onboarding, Simulator</w:t>
            </w:r>
          </w:p>
        </w:tc>
      </w:tr>
      <w:tr>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Onboarding &amp; EMOB</w:t>
            </w:r>
          </w:p>
        </w:tc>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Onboarding &amp; Retention</w:t>
            </w:r>
          </w:p>
        </w:tc>
        <w:tc>
          <w:tcPr>
            <w:tcW w:type="dxa" w:w="29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Scorecard, Simulator</w:t>
            </w:r>
          </w:p>
        </w:tc>
      </w:tr>
      <w:tr>
        <w:tc>
          <w:tcPr>
            <w:tcW w:type="dxa" w:w="3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Branch / Digital Integration</w:t>
            </w:r>
          </w:p>
        </w:tc>
        <w:tc>
          <w:tcPr>
            <w:tcW w:type="dxa" w:w="3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Paid Channels (Brand — BEI)</w:t>
            </w:r>
          </w:p>
        </w:tc>
        <w:tc>
          <w:tcPr>
            <w:tcW w:type="dxa" w:w="29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Operations</w:t>
            </w:r>
          </w:p>
        </w:tc>
      </w:tr>
      <w:tr>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Mobile / Digital Experience</w:t>
            </w:r>
          </w:p>
        </w:tc>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Product &amp; Experience</w:t>
            </w:r>
          </w:p>
        </w:tc>
        <w:tc>
          <w:tcPr>
            <w:tcW w:type="dxa" w:w="29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Funnel</w:t>
            </w:r>
          </w:p>
        </w:tc>
      </w:tr>
      <w:tr>
        <w:tc>
          <w:tcPr>
            <w:tcW w:type="dxa" w:w="3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Product Innovation</w:t>
            </w:r>
          </w:p>
        </w:tc>
        <w:tc>
          <w:tcPr>
            <w:tcW w:type="dxa" w:w="3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Product &amp; Experience</w:t>
            </w:r>
          </w:p>
        </w:tc>
        <w:tc>
          <w:tcPr>
            <w:tcW w:type="dxa" w:w="29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Paid Channels</w:t>
            </w:r>
          </w:p>
        </w:tc>
      </w:tr>
      <w:tr>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Behavioral Data Layer</w:t>
            </w:r>
          </w:p>
        </w:tc>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Onboarding &amp; Retention</w:t>
            </w:r>
          </w:p>
        </w:tc>
        <w:tc>
          <w:tcPr>
            <w:tcW w:type="dxa" w:w="29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Operations (System Health)</w:t>
            </w:r>
          </w:p>
        </w:tc>
      </w:tr>
      <w:tr>
        <w:tc>
          <w:tcPr>
            <w:tcW w:type="dxa" w:w="3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Offer Management Engine</w:t>
            </w:r>
          </w:p>
        </w:tc>
        <w:tc>
          <w:tcPr>
            <w:tcW w:type="dxa" w:w="3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Onboarding &amp; Retention</w:t>
            </w:r>
          </w:p>
        </w:tc>
        <w:tc>
          <w:tcPr>
            <w:tcW w:type="dxa" w:w="29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Operations (System Health)</w:t>
            </w:r>
          </w:p>
        </w:tc>
      </w:tr>
      <w:tr>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AI / Analytics Platform</w:t>
            </w:r>
          </w:p>
        </w:tc>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Scorecard</w:t>
            </w:r>
          </w:p>
        </w:tc>
        <w:tc>
          <w:tcPr>
            <w:tcW w:type="dxa" w:w="29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Operations (System Health)</w:t>
            </w:r>
          </w:p>
        </w:tc>
      </w:tr>
      <w:tr>
        <w:tc>
          <w:tcPr>
            <w:tcW w:type="dxa" w:w="3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Personalization Engine</w:t>
            </w:r>
          </w:p>
        </w:tc>
        <w:tc>
          <w:tcPr>
            <w:tcW w:type="dxa" w:w="3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Acquisition Funnel</w:t>
            </w:r>
          </w:p>
        </w:tc>
        <w:tc>
          <w:tcPr>
            <w:tcW w:type="dxa" w:w="29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Onboarding, Product</w:t>
            </w:r>
          </w:p>
        </w:tc>
      </w:tr>
      <w:tr>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Attribution / Data Stitching ETL</w:t>
            </w:r>
          </w:p>
        </w:tc>
        <w:tc>
          <w:tcPr>
            <w:tcW w:type="dxa" w:w="320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All modules</w:t>
            </w:r>
          </w:p>
        </w:tc>
        <w:tc>
          <w:tcPr>
            <w:tcW w:type="dxa" w:w="2960"/>
            <w:tcBorders>
              <w:top w:val="single" w:color="D4DBE0" w:sz="1"/>
              <w:left w:val="single" w:color="D4DBE0" w:sz="1"/>
              <w:bottom w:val="single" w:color="D4DBE0" w:sz="1"/>
              <w:right w:val="single" w:color="D4DBE0" w:sz="1"/>
            </w:tcBorders>
            <w:tcMar>
              <w:top w:type="dxa" w:w="60"/>
              <w:left w:type="dxa" w:w="100"/>
              <w:bottom w:type="dxa" w:w="60"/>
              <w:right w:type="dxa" w:w="100"/>
            </w:tcMar>
          </w:tcPr>
          <w:p>
            <w:r>
              <w:rPr>
                <w:rFonts w:ascii="Libre Franklin" w:cs="Libre Franklin" w:eastAsia="Libre Franklin" w:hAnsi="Libre Franklin"/>
                <w:color w:val="303A42"/>
                <w:sz w:val="20"/>
                <w:szCs w:val="20"/>
              </w:rPr>
              <w:t xml:space="preserve">Operations (System Health), Simulator</w:t>
            </w:r>
          </w:p>
        </w:tc>
      </w:tr>
      <w:tr>
        <w:tc>
          <w:tcPr>
            <w:tcW w:type="dxa" w:w="3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Full-Funnel Modeling</w:t>
            </w:r>
          </w:p>
        </w:tc>
        <w:tc>
          <w:tcPr>
            <w:tcW w:type="dxa" w:w="320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Simulator</w:t>
            </w:r>
          </w:p>
        </w:tc>
        <w:tc>
          <w:tcPr>
            <w:tcW w:type="dxa" w:w="2960"/>
            <w:tcBorders>
              <w:top w:val="single" w:color="D4DBE0" w:sz="1"/>
              <w:left w:val="single" w:color="D4DBE0" w:sz="1"/>
              <w:bottom w:val="single" w:color="D4DBE0" w:sz="1"/>
              <w:right w:val="single" w:color="D4DBE0" w:sz="1"/>
            </w:tcBorders>
            <w:shd w:fill="F1F4F7" w:val="clear"/>
            <w:tcMar>
              <w:top w:type="dxa" w:w="60"/>
              <w:left w:type="dxa" w:w="100"/>
              <w:bottom w:type="dxa" w:w="60"/>
              <w:right w:type="dxa" w:w="100"/>
            </w:tcMar>
          </w:tcPr>
          <w:p>
            <w:r>
              <w:rPr>
                <w:rFonts w:ascii="Libre Franklin" w:cs="Libre Franklin" w:eastAsia="Libre Franklin" w:hAnsi="Libre Franklin"/>
                <w:color w:val="303A42"/>
                <w:sz w:val="20"/>
                <w:szCs w:val="20"/>
              </w:rPr>
              <w:t xml:space="preserve">Spend Allocation, Scorecard</w:t>
            </w:r>
          </w:p>
        </w:tc>
      </w:tr>
    </w:tbl>
    <w:p>
      <w:pPr>
        <w:spacing w:after="200"/>
      </w:pPr>
    </w:p>
    <w:p>
      <w:pPr>
        <w:spacing w:after="120"/>
        <w:jc w:val="center"/>
        <w:rPr>
          <w:i/>
          <w:iCs/>
          <w:color w:val="9BA6B1"/>
        </w:rPr>
      </w:pPr>
      <w:r>
        <w:rPr>
          <w:rFonts w:ascii="Libre Franklin" w:cs="Libre Franklin" w:eastAsia="Libre Franklin" w:hAnsi="Libre Franklin"/>
          <w:i/>
          <w:iCs/>
          <w:color w:val="9BA6B1"/>
          <w:sz w:val="22"/>
          <w:szCs w:val="22"/>
        </w:rPr>
        <w:t xml:space="preserve">— End of Build Specification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BE0" w:sz="2" w:space="4"/>
      </w:pBdr>
      <w:jc w:val="right"/>
    </w:pPr>
    <w:r>
      <w:rPr>
        <w:rFonts w:ascii="Libre Franklin" w:cs="Libre Franklin" w:eastAsia="Libre Franklin" w:hAnsi="Libre Franklin"/>
        <w:color w:val="9BA6B1"/>
        <w:sz w:val="16"/>
        <w:szCs w:val="16"/>
      </w:rPr>
      <w:t xml:space="preserve">© Red Ventures 2026  |  Confidential    </w:t>
    </w:r>
    <w:r>
      <w:rPr>
        <w:rFonts w:ascii="Libre Franklin" w:cs="Libre Franklin" w:eastAsia="Libre Franklin" w:hAnsi="Libre Franklin"/>
        <w:color w:val="9BA6B1"/>
        <w:sz w:val="16"/>
        <w:szCs w:val="16"/>
      </w:rPr>
      <w:t xml:space="preserve">Page </w:t>
    </w:r>
    <w:r>
      <w:rPr>
        <w:rFonts w:ascii="Libre Franklin" w:cs="Libre Franklin" w:eastAsia="Libre Franklin" w:hAnsi="Libre Franklin"/>
        <w:color w:val="9BA6B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0016" w:sz="4" w:space="4"/>
      </w:pBdr>
    </w:pPr>
    <w:r>
      <w:rPr>
        <w:rFonts w:ascii="Libre Franklin" w:cs="Libre Franklin" w:eastAsia="Libre Franklin" w:hAnsi="Libre Franklin"/>
        <w:color w:val="9BA6B1"/>
        <w:sz w:val="18"/>
        <w:szCs w:val="18"/>
      </w:rPr>
      <w:t xml:space="preserve">Apex  |  Build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Franklin" w:cs="Libre Franklin" w:eastAsia="Libre Franklin" w:hAnsi="Libre Frankli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Libre Franklin" w:cs="Libre Franklin" w:eastAsia="Libre Franklin" w:hAnsi="Libre Franklin"/>
      <w:b/>
      <w:bCs/>
      <w:color w:val="303A42"/>
      <w:sz w:val="36"/>
      <w:szCs w:val="36"/>
    </w:rPr>
  </w:style>
  <w:style w:type="paragraph" w:styleId="Heading2">
    <w:name w:val="Heading 2"/>
    <w:basedOn w:val="Normal"/>
    <w:next w:val="Normal"/>
    <w:qFormat/>
    <w:pPr>
      <w:spacing w:after="160" w:before="280"/>
      <w:outlineLvl w:val="1"/>
    </w:pPr>
    <w:rPr>
      <w:rFonts w:ascii="Libre Franklin" w:cs="Libre Franklin" w:eastAsia="Libre Franklin" w:hAnsi="Libre Franklin"/>
      <w:b/>
      <w:bCs/>
      <w:color w:val="800000"/>
      <w:sz w:val="30"/>
      <w:szCs w:val="30"/>
    </w:rPr>
  </w:style>
  <w:style w:type="paragraph" w:styleId="Heading3">
    <w:name w:val="Heading 3"/>
    <w:basedOn w:val="Normal"/>
    <w:next w:val="Normal"/>
    <w:qFormat/>
    <w:pPr>
      <w:spacing w:after="120" w:before="200"/>
      <w:outlineLvl w:val="2"/>
    </w:pPr>
    <w:rPr>
      <w:rFonts w:ascii="Libre Franklin" w:cs="Libre Franklin" w:eastAsia="Libre Franklin" w:hAnsi="Libre Franklin"/>
      <w:b/>
      <w:bCs/>
      <w:color w:val="303A4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2026-05-07T18:52:06.560Z</dcterms:created>
  <dcterms:modified xsi:type="dcterms:W3CDTF">2026-05-07T18:52:06.561Z</dcterms:modified>
</cp:coreProperties>
</file>

<file path=docProps/custom.xml><?xml version="1.0" encoding="utf-8"?>
<Properties xmlns="http://schemas.openxmlformats.org/officeDocument/2006/custom-properties" xmlns:vt="http://schemas.openxmlformats.org/officeDocument/2006/docPropsVTypes"/>
</file>