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Libre Franklin" w:cs="Libre Franklin" w:eastAsia="Libre Franklin" w:hAnsi="Libre Franklin"/>
          <w:b/>
          <w:bCs/>
          <w:color w:val="303A42"/>
          <w:sz w:val="52"/>
          <w:szCs w:val="52"/>
        </w:rPr>
        <w:t xml:space="preserve">APEX DASHBOARD SUITE</w:t>
      </w:r>
    </w:p>
    <w:p>
      <w:pPr>
        <w:spacing w:after="100"/>
        <w:jc w:val="center"/>
      </w:pPr>
      <w:r>
        <w:rPr>
          <w:rFonts w:ascii="Libre Franklin" w:cs="Libre Franklin" w:eastAsia="Libre Franklin" w:hAnsi="Libre Franklin"/>
          <w:color w:val="800000"/>
          <w:sz w:val="36"/>
          <w:szCs w:val="36"/>
        </w:rPr>
        <w:t xml:space="preserve">Build Specification</w:t>
      </w:r>
    </w:p>
    <w:p>
      <w:pPr>
        <w:spacing w:after="600"/>
        <w:jc w:val="center"/>
      </w:pPr>
      <w:r>
        <w:rPr>
          <w:rFonts w:ascii="Libre Franklin" w:cs="Libre Franklin" w:eastAsia="Libre Franklin" w:hAnsi="Libre Franklin"/>
          <w:color w:val="62727E"/>
          <w:sz w:val="26"/>
          <w:szCs w:val="26"/>
        </w:rPr>
        <w:t xml:space="preserve">CMO Command Center for Project Velocity</w:t>
      </w:r>
    </w:p>
    <w:p>
      <w:pPr>
        <w:pBdr>
          <w:top w:val="single" w:color="FF0016" w:sz="6" w:space="1"/>
        </w:pBdr>
        <w:spacing w:after="200" w:before="400"/>
        <w:jc w:val="center"/>
      </w:pPr>
    </w:p>
    <w:p>
      <w:pPr>
        <w:spacing w:after="80"/>
        <w:jc w:val="center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Prepared by: Tyler O’Rourke</w:t>
      </w:r>
    </w:p>
    <w:p>
      <w:pPr>
        <w:spacing w:after="80"/>
        <w:jc w:val="center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Date: May 6, 2026</w:t>
      </w:r>
    </w:p>
    <w:p>
      <w:pPr>
        <w:spacing w:after="80"/>
        <w:jc w:val="center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Version: 1.0</w:t>
      </w:r>
    </w:p>
    <w:p>
      <w:pPr>
        <w:spacing w:before="600"/>
        <w:jc w:val="center"/>
      </w:pPr>
      <w:r>
        <w:rPr>
          <w:rFonts w:ascii="Libre Franklin" w:cs="Libre Franklin" w:eastAsia="Libre Franklin" w:hAnsi="Libre Franklin"/>
          <w:color w:val="9BA6B1"/>
          <w:sz w:val="18"/>
          <w:szCs w:val="18"/>
        </w:rPr>
        <w:t xml:space="preserve">© Red Ventures 2026  |  Confidential and Proprietary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Apex is the CMO command center for Project Velocity — a real-time monitoring and management layer that sits on top of all marketing data outputs across the FITB full-funnel marketing strategy. Its sister application, Kamino, handles execution-layer automation (campaign launches, bid adjustments, audience syncs, trigger-based communications). Apex does not execute — it observes, surfaces, and enables decisions.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This build specification defines the complete dashboard suite: seven interconnected modules covering every stage from brand media spend allocation through post-acquisition retention, plus an operational command module for workflow management. Each module maps directly to the strategy workstreams documented in the FITB Full-Funnel Marketing Strategy synthesis.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Design Philosophy: </w:t>
      </w: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Apex is built around the principle that a CMO should spend 80% of their time on allocation decisions and strategic judgment, not on pulling reports or chasing status updates. Every module surfaces the minimum viable data to make a decision, with drill-down paths for the 20% of situations that require deeper investigation.</w:t>
      </w:r>
    </w:p>
    <w:p>
      <w:pPr>
        <w:spacing w:after="200"/>
      </w:pPr>
    </w:p>
    <w:p>
      <w:pPr>
        <w:pStyle w:val="Heading2"/>
      </w:pPr>
      <w:r>
        <w:t xml:space="preserve">1.1 System Architecture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Apex (This Spec) — Monitor + Manage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Real-time dashboards across all funnel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Spend allocation controls with scenario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Alert engine for anomaly detection and threshold breaches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Performance scorecards aligned to contractual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Operational workflow tracking (team, approvals, launches)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Kamino (Sister App) — Automate + Execute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Campaign creation and launch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Bid management and budget pacing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Audience sync and suppression list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Trigger-based communication orchestration (EMOB sequences)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A/B test deployment and winner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Abandonment recovery sequence execution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Data Flow: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Kamino executes campaigns and feeds event data into the data lake. Apex reads from the data lake and presents unified views. When a CMO makes an allocation change in Apex, it generates a directive that Kamino picks up and executes. The two apps share a common data contract but are independently deployable.</w:t>
      </w:r>
    </w:p>
    <w:p>
      <w:pPr>
        <w:spacing w:after="200"/>
      </w:pPr>
    </w:p>
    <w:p>
      <w:pPr>
        <w:pStyle w:val="Heading2"/>
      </w:pPr>
      <w:r>
        <w:t xml:space="preserve">1.2 Data Source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760"/>
        <w:gridCol w:w="3000"/>
      </w:tblGrid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Data Type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Refresh Cadence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Apex Module(s)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SEM performance, PMax, VBB signals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Near real-time (15-min)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Search, Spend Allocation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social performance, CPL, Advantage+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Hourly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Social, Spend Allocation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Salesforce Marketing Cloud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Einstein personas, NBA decisioning, email/SMS metrics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Hourly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Conversion, Onboarding, Retention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Salesforce CRM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Account opens, funded status, product attachment, PFI milestones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Funnel, Onboarding, Retention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InteractIQ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Open Consumer + OLB + Mobile events stitched to Salesforce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Near real-time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Funnel, Retention, Behavioral Triggers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CASy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Offer eligibility, stacked offer status, fulfillment tracking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Onboarding, Retention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Velocity 360 Profile (ETL)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Full-funnel attribution, 72 prospect attributes, 370M events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 batch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All modules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Profound / BrightEdge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LLM Visibility Score, AEO metrics, 124 prompts x 56 markets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AEO / Organic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SEMrush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Organic rankings, keyword positions, competitive intel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AEO / Organic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Placer.ai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Branch foot traffic, competitive visit data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Brand Media, Geo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Site sessions, conversion events, landing page metrics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Near real-time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Conversion, Funnel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Sensor Tower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Competitive ad spend intelligence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Competitive Intel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MyMove / USPS NCOA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Mover data, 39M annual residential movers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Life Event, Affluent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FITB Internal Systems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HH production, retention cohorts, MOB6/12, fraud closures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Scorecard, Retention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Jira / Project Management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Sprint status, ticket velocity, team capacity</w:t>
            </w:r>
          </w:p>
        </w:tc>
        <w:tc>
          <w:tcPr>
            <w:tcW w:type="dxa" w:w="1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Module 1: Executive Scorecard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The landing page. Shows the CMO exactly where Project Velocity stands against contractual commitments at a glance. No navigation required for a status check — green/yellow/red for every KPI.</w:t>
      </w:r>
    </w:p>
    <w:p>
      <w:pPr>
        <w:spacing w:after="200"/>
      </w:pPr>
    </w:p>
    <w:p>
      <w:pPr>
        <w:pStyle w:val="Heading2"/>
      </w:pPr>
      <w:r>
        <w:t xml:space="preserve">2.1 Primary KPI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1200"/>
        <w:gridCol w:w="2160"/>
      </w:tblGrid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Refresh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Net Household Growth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29% CAGR / 84K retained (2026)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FITB Internal + Velocity 360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95% of pace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MOB6 Retention Rate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77%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FITB CRM cohorts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75% (2pts below target)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Brand Capture Rate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Maintain ≥ 80%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Velocity 360 + GA4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Drop &gt; 5pts MoM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Cost Per Incremental HH (CPIHH)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Declining QoQ trend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Velocity 360 + Media spend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QoQ increase &gt; 10%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LLM Visibility Score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Increasing trend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Profound / BrightEdge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MoM decline &gt; 5pts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Application Completion Rate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Target: 50% (vs. 40% industry)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GA4 + CRM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WoW decline &gt; 3pts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 Activation (Day 30 DD)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50% direct deposit enrollment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InteractIQ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45%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Financial Summary Strip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Total media spend MTD / QTD / YTD vs.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Blended CPL and CPIHH with trend arrows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Revenue attribution estimate (LTV of acquired HHs)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Brand media burn rate vs. $10M annual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Affluent overlay spend vs. $3.2M–$5.2M incremental budget</w:t>
      </w:r>
    </w:p>
    <w:p>
      <w:pPr>
        <w:spacing w:after="200"/>
      </w:pPr>
    </w:p>
    <w:p>
      <w:pPr>
        <w:pStyle w:val="Heading2"/>
      </w:pPr>
      <w:r>
        <w:t xml:space="preserve">2.3 Trend Sparklines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Each KPI card includes a 12-week sparkline showing trajectory. Color-coded: green (improving), yellow (flat), red (declining). Sparklines use the same color logic as the status indicators so the CMO can instantly distinguish between a KPI that is below target but improving vs. one that is below target and worsening.</w:t>
      </w:r>
    </w:p>
    <w:p>
      <w:pPr>
        <w:spacing w:after="200"/>
      </w:pPr>
    </w:p>
    <w:p>
      <w:pPr>
        <w:pStyle w:val="Heading2"/>
      </w:pPr>
      <w:r>
        <w:t xml:space="preserve">2.4 Alert Feed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scrolling feed of the 10 most recent alerts, categorized by severity (Critical / Warning / Info). Alerts are generated by threshold breaches on any KPI across any module. Each alert links directly to the relevant module drill-down. 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CRITICAL: MOB6 retention dropped to 72.1% (target 77%) — Link to Retention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WARNING: Brand media pacing 12% ahead of plan in Nashville DMA — Link to Spend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INFO: LLM Visibility Score up 3pts for “checking account” prompts in Charlotte — Link to AEO Module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Module 2: Spend Allocation &amp; Budget Management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The CMO’s primary operational control surface. This module is where allocation decisions happen — adjusting channel mix, shifting budget between DMAs, approving incremental spend requests, and modeling scenarios before committing. Changes made here generate directives that Kamino executes.</w:t>
      </w:r>
    </w:p>
    <w:p>
      <w:pPr>
        <w:spacing w:after="200"/>
      </w:pPr>
    </w:p>
    <w:p>
      <w:pPr>
        <w:pStyle w:val="Heading2"/>
      </w:pPr>
      <w:r>
        <w:t xml:space="preserve">3.1 Budget Overview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Budget Category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Annual Budget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Key Controls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Brand Media (Mass Market)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$10M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DMA tier allocation, channel mix sliders, frequency cap targets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Affluent Life Event Overlay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$3.2M–$5.2M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Life event campaign toggles, HHI threshold, DMA targeting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Performance Media (SEM)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Variable (from $267K/mo base)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Keyword category budgets, match type ratios, VBB bid targets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Social (Meta)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30–50% of brand media allocation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Advantage+ budget, native vs. landing page split, audience caps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SEO / AEO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Headcount + tool costs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Content calendar priority, tool subscriptions, testing budget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Conversion / Testing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Included in engagement fee</w:t>
            </w:r>
          </w:p>
        </w:tc>
        <w:tc>
          <w:tcPr>
            <w:tcW w:type="dxa" w:w="4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Test velocity targets, Einstein persona budget allocation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Channel Mix Control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Interactive sliders for the brand media channel mix, constrained to the strategic ranges defined in the Full-Funnel Strategy. The CMO can drag allocations within the approved bands; exceeding them triggers a confirmation dialog explaining the strategic rationale for the constraint.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800"/>
        <w:gridCol w:w="2760"/>
      </w:tblGrid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Min %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Max %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Current %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Adjustment Authority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CTV / OLV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35%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45%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platform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CMO direct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Social (Meta)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30%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platform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CMO direct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Streaming Audio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platform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CMO direct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Local SEO + LSA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Always-on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Always-on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Auto-managed by Kamino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DMA Allocation Matrix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46-row matrix showing each DMA, its tier assignment (Defend / Maintain / Scale T1 / Scale T2 / Experiment Active / Experiment Control), current monthly spend, BEI score, 90-day retention rate, and CPIHH. The CMO can re-tier a DMA with drag-and-drop; Apex recalculates the budget redistribution impact in real time and shows the projected HH impact before confirming.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Key DMA Control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Tier reassignment with budget impact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Active/Control experiment pairing (drag a DMA from Active to Control or vice versa)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BEI trend overlay — sparklines per DMA showing brand health trajectory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Retention heat map — color-code DMAs by 90-day retention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Frequency compliance flag — highlight DMAs below 3x weekly frequency threshold</w:t>
      </w:r>
    </w:p>
    <w:p>
      <w:pPr>
        <w:spacing w:after="200"/>
      </w:pPr>
    </w:p>
    <w:p>
      <w:pPr>
        <w:pStyle w:val="Heading2"/>
      </w:pPr>
      <w:r>
        <w:t xml:space="preserve">3.4 Scenario Modeling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Before committing a budget change, the CMO can run a what-if scenario. Apex pulls historical performance data and projects the impact of reallocation on HH production, retention, and CPIHH. The model uses the same attribution weights as the Velocity 360 Profile.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Scenario Variables: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Shift $X from Channel A to Channel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Add / remove DMAs from Scale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Increase / decrease affluent overlay spend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Toggle life event campaigns on/off by event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Adjust branded vs. non-branded SEM split</w:t>
      </w:r>
    </w:p>
    <w:p>
      <w:pPr>
        <w:spacing w:after="200"/>
      </w:pPr>
    </w:p>
    <w:p>
      <w:pPr>
        <w:pStyle w:val="Heading2"/>
      </w:pPr>
      <w:r>
        <w:t xml:space="preserve">3.5 Pacing &amp; Burn Rate Tracker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For each budget category, a burn-rate chart showing actual spend vs. plan with a projected end-of-period landing. If the trajectory exceeds or undershoots the budget by more than 5%, Apex flags it and suggests a reallocation. The $10M brand media budget is tracked at the DMA-tier level; the $3.2M–5.2M affluent overlay is tracked at the campaign level.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Module 3: Acquisition Funnel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visual representation of the entire acquisition journey from first impression to funded account. Each stage shows volume, conversion rate, cost metrics, and drop-off rates. The funnel is filterable by channel, DMA, product type, and time period.</w:t>
      </w:r>
    </w:p>
    <w:p>
      <w:pPr>
        <w:spacing w:after="200"/>
      </w:pPr>
    </w:p>
    <w:p>
      <w:pPr>
        <w:pStyle w:val="Heading2"/>
      </w:pPr>
      <w:r>
        <w:t xml:space="preserve">4.1 Six-Stage Funnel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Industry Benchmark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Top Performer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FITB Target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Primary Data Source</w:t>
            </w:r>
          </w:p>
        </w:tc>
      </w:tr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Page Visit → App Start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65%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60%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GA4 + Landing Page Analytics</w:t>
            </w:r>
          </w:p>
        </w:tc>
      </w:tr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App Start → Form Complete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65%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GA4 + CRM Events</w:t>
            </w:r>
          </w:p>
        </w:tc>
      </w:tr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Form Complete → KYC Pass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KYC System</w:t>
            </w:r>
          </w:p>
        </w:tc>
      </w:tr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KYC Pass → Approval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90%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88%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Underwriting</w:t>
            </w:r>
          </w:p>
        </w:tc>
      </w:tr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Approval → Funded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73%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87%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Funding Events</w:t>
            </w:r>
          </w:p>
        </w:tc>
      </w:tr>
      <w:tr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Funded → Active (90 days)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85%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InteractIQ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Funnel Drop-off Analysis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For each stage transition, Apex shows the volume of drop-offs, segments them by channel source, and estimates the revenue impact of the drop-off (using $2,500 average LTV per checking household). This makes the dollar cost of each friction point immediately visible.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Filterable Dimensions: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Channel source (SEM branded, SEM non-branded, Meta, CTV, organic, direct, referral)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DMA tier (Defend, Maintain, Scale T1/T2, Experiment)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Product type (checking, savings, CD, credit card, mortgage)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Device (mobile, desktop, tablet)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Einstein persona segment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Time period (daily, weekly, monthly, custom)</w:t>
      </w:r>
    </w:p>
    <w:p>
      <w:pPr>
        <w:spacing w:after="200"/>
      </w:pPr>
    </w:p>
    <w:p>
      <w:pPr>
        <w:pStyle w:val="Heading2"/>
      </w:pPr>
      <w:r>
        <w:t xml:space="preserve">4.3 Abandonment Recovery Tracker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Monitors the automated recovery sequences that Kamino executes for abandoned applications. Shows recovery rates by time window and channel: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1800"/>
        <w:gridCol w:w="1560"/>
      </w:tblGrid>
      <w:tr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Recovery Window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Expected Recovery %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Actual Recovery %</w:t>
            </w:r>
          </w:p>
        </w:tc>
        <w:tc>
          <w:tcPr>
            <w:tcW w:type="dxa" w:w="1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0–2 hours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Automated email + deep link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Highest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Kamino</w:t>
            </w:r>
          </w:p>
        </w:tc>
        <w:tc>
          <w:tcPr>
            <w:tcW w:type="dxa" w:w="1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2–24 hours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SMS reminder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Kamino</w:t>
            </w:r>
          </w:p>
        </w:tc>
        <w:tc>
          <w:tcPr>
            <w:tcW w:type="dxa" w:w="1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24–48 hours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Phone (high-value) / Email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Kamino</w:t>
            </w:r>
          </w:p>
        </w:tc>
        <w:tc>
          <w:tcPr>
            <w:tcW w:type="dxa" w:w="1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 + Manual</w:t>
            </w:r>
          </w:p>
        </w:tc>
      </w:tr>
      <w:tr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48–72 hours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Retargeting ads (dynamic creative)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Kamino</w:t>
            </w:r>
          </w:p>
        </w:tc>
        <w:tc>
          <w:tcPr>
            <w:tcW w:type="dxa" w:w="1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7–14 days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Final email with updated offer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from Kamino</w:t>
            </w:r>
          </w:p>
        </w:tc>
        <w:tc>
          <w:tcPr>
            <w:tcW w:type="dxa" w:w="1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Landing Page Performance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Tracks the conversion levers identified in the strategy: personalized CTAs (+202%), form field reduction (+120%), AI personalization (+40%), load speed impact, and trust signal presence. Each landing page variant is scored against these benchmarks, and Apex flags pages that are underperforming the expected lift.</w:t>
      </w:r>
    </w:p>
    <w:p>
      <w:pPr>
        <w:spacing w:after="200"/>
      </w:pPr>
    </w:p>
    <w:p>
      <w:pPr>
        <w:pStyle w:val="Heading2"/>
      </w:pPr>
      <w:r>
        <w:t xml:space="preserve">4.5 Einstein Personalization Monitor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Displays active Einstein persona segments, their conversion rates relative to default experiences, and the current A/B and multivariate test velocity. Tracks the 3x faster testing engine metric (Q1 2026 achievement) and alerts if test velocity drops below the established cadence.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Module 4: Onboarding &amp; Retention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The module that directly addresses the critical 73% vs. 77% MOB6 retention gap. Tracks every customer from funded account through PFI status, monitoring the behavioral triggers and milestone completions that predict long-term retention.</w:t>
      </w:r>
    </w:p>
    <w:p>
      <w:pPr>
        <w:spacing w:after="200"/>
      </w:pPr>
    </w:p>
    <w:p>
      <w:pPr>
        <w:pStyle w:val="Heading2"/>
      </w:pPr>
      <w:r>
        <w:t xml:space="preserve">5.1 PFI Flywheel Tracker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visual flywheel showing the six PFI milestones with real-time completion rates across the active onboarding cohort: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Flywheel Step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Target Completion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Tracking Source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Switching Cost Impact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1. Direct Deposit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50% by Day 30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InteractIQ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High — financial hub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2. Bill Pay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30% by Day 60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High — recurring outflows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3. Debit Card Usage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70% by Day 14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Transaction Data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Medium — interchange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4. Digital Wallet (Apple/Google Pay)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25% by Day 30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Mobile Events + InteractIQ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High — daily dependency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5. Zelle P2P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20% by Day 60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Medium — social lock-in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6. Cross-sell Acceptance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25% by Day 90</w:t>
            </w:r>
          </w:p>
        </w:tc>
        <w:tc>
          <w:tcPr>
            <w:tcW w:type="dxa" w:w="2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CRM + CASy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High — deepening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90-Day Milestone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Alert If Below</w:t>
            </w:r>
          </w:p>
        </w:tc>
        <w:tc>
          <w:tcPr>
            <w:tcW w:type="dxa" w:w="3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Intervention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Day 7: Funded Account Rate</w:t>
            </w:r>
          </w:p>
        </w:tc>
        <w:tc>
          <w:tcPr>
            <w:tcW w:type="dxa" w:w="1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80%+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75%</w:t>
            </w:r>
          </w:p>
        </w:tc>
        <w:tc>
          <w:tcPr>
            <w:tcW w:type="dxa" w:w="3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Push notification + banker email → Kamino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Day 30: Direct Deposit Enrolled</w:t>
            </w:r>
          </w:p>
        </w:tc>
        <w:tc>
          <w:tcPr>
            <w:tcW w:type="dxa" w:w="1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50%+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45%</w:t>
            </w:r>
          </w:p>
        </w:tc>
        <w:tc>
          <w:tcPr>
            <w:tcW w:type="dxa" w:w="3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Guided switching prompt → Kamino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Day 90: Second Product Attached</w:t>
            </w:r>
          </w:p>
        </w:tc>
        <w:tc>
          <w:tcPr>
            <w:tcW w:type="dxa" w:w="1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25%+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Cross-sell offer via CASy → Kamino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Day 90: Retention Rate</w:t>
            </w:r>
          </w:p>
        </w:tc>
        <w:tc>
          <w:tcPr>
            <w:tcW w:type="dxa" w:w="1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90%+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85%</w:t>
            </w:r>
          </w:p>
        </w:tc>
        <w:tc>
          <w:tcPr>
            <w:tcW w:type="dxa" w:w="3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At-risk escalation to retention team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Behavioral Trigger Monitor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Shows the volume and conversion rate of each automated behavioral trigger managed by Kamino: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800"/>
        <w:gridCol w:w="2360"/>
      </w:tblGrid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Action (via Kamino)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Volume / Week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Conversion Rate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No transaction within 7 days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Quick-start email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No app download within 7 days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SMS with download link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No direct deposit after 14 days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Guided switching prompt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Large deposit received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CD rate comparison in-app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Rent payment &gt; $2K/month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Mortgage pre-qual offer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Account unfunded after 7 days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Push notification + banker email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Retention Cohort Analysis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Tracks MOB6 and MOB12 retention by acquisition cohort (month of account opening), channel source, DMA, and Qualifile Score band. This directly addresses the root cause analysis from the Issue Tree: mix shift (42% of gap), fraud closures, and offer fulfillment shortfalls.</w:t>
      </w:r>
    </w:p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Filters: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Acquisition channel (online vs. branch vs. referral)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Qualifile Score band (high / medium / low quality)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DMA and geo-cohort (Growth Focus / Efficiency / Defend / Maintain)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Offer type (cash bonus, stacked offer, no offer)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Product mix at acquisition</w:t>
      </w:r>
    </w:p>
    <w:p>
      <w:pPr>
        <w:spacing w:after="200"/>
      </w:pPr>
    </w:p>
    <w:p>
      <w:pPr>
        <w:pStyle w:val="Heading2"/>
      </w:pPr>
      <w:r>
        <w:t xml:space="preserve">5.5 CASy Offer Performance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Once CASy launches (May 2026), this sub-panel tracks: offer eligibility rates, stacked offer activation rates, offer completion/fulfillment tracking, and the impact of offers on Day 30 and Day 90 milestones. This directly addresses the fulfillment gap identified as a root cause of the retention shortfall.</w:t>
      </w:r>
    </w:p>
    <w:p>
      <w:pPr>
        <w:spacing w:after="200"/>
      </w:pPr>
    </w:p>
    <w:p>
      <w:pPr>
        <w:pStyle w:val="Heading2"/>
      </w:pPr>
      <w:r>
        <w:t xml:space="preserve">5.6 Geo-Retention Heat Map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map visualization of 90-day retention rates by DMA, colored from red (lowest) to green (highest). Overlays the four geo-cohorts (Growth Focus / Efficiency Improvement / Defend / Maintain) and shows whether each DMA is receiving the differentiated offer/communication strategy prescribed by the geo-optimization framework. Estimated impact being tracked: 2–3K retained HHs.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Module 5: Paid Channel Performance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Detailed performance monitoring for all paid media channels, with the depth needed for channel managers while keeping the CMO view focused on efficiency and allocation signals.</w:t>
      </w:r>
    </w:p>
    <w:p>
      <w:pPr>
        <w:spacing w:after="200"/>
      </w:pPr>
    </w:p>
    <w:p>
      <w:pPr>
        <w:pStyle w:val="Heading2"/>
      </w:pPr>
      <w:r>
        <w:t xml:space="preserve">6.1 Paid Search (SEM)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Benchmark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Average CPC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$3.46 (branded $0.50–$2.00)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CPC &gt; $5.00 non-branded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CTR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8.3%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6%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2.55%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Ads + CRM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2.0%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CPL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$83.93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CPL &gt; $100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Quality Score (avg)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Target: 7+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5 on any high-volume keyword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Impression Share (branded)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90%+ target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85%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VBB Margin Signal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4% margin increase baseline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Velocity 360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Margin signal degradation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SEM Sub-views: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Market segmentation performance: Established (133 branches, 28K searches/branch) vs. Growth (32, 18K) vs. New (1, 5K)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Match type allocation tracker: 60% broad / 30% exact / 10% phrase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Performance Max and AI Max campaign performance vs. standard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Negative keyword hygiene score</w:t>
      </w:r>
    </w:p>
    <w:p>
      <w:pPr>
        <w:spacing w:after="200"/>
      </w:pPr>
    </w:p>
    <w:p>
      <w:pPr>
        <w:pStyle w:val="Heading2"/>
      </w:pPr>
      <w:r>
        <w:t xml:space="preserve">6.2 Paid Social (Meta)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Benchmark / Target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CPL (native lead forms)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Target: below $83.93 SEM CPL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CPL &gt; SEM CPL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Native Lead Form CVR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13% benchmark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Landing Page CVR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4.02% benchmark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+ GA4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Advantage+ CPA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10% below manual CPA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Advantage+ &gt; manual CPA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First-party audience count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15 active audiences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12 active</w:t>
            </w:r>
          </w:p>
        </w:tc>
      </w:tr>
      <w:tr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CPL YoY trend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Rising ~20%/year</w:t>
            </w:r>
          </w:p>
        </w:tc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QoQ increase &gt; 10%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Brand Media Dashboard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BEI Scorecard (Brand Effectiveness Index):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BEI = (0.25 × Awareness) + (0.25 × Branded Search) + (0.20 × Direct Traffic) + (0.20 × Branch Visits) + (0.10 × Social Engagement)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BEI score by DMA tier (aggregate and individual)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Frequency compliance: % of Scale T1/T2 DMAs achieving 3–5x weekly 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CTV/OLV completion rates and 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Streaming audio listen-through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Active vs. Control DMA incrementality results</w:t>
      </w:r>
    </w:p>
    <w:p>
      <w:pPr>
        <w:spacing w:after="200"/>
      </w:pPr>
    </w:p>
    <w:p>
      <w:pPr>
        <w:pStyle w:val="Heading2"/>
      </w:pPr>
      <w:r>
        <w:t xml:space="preserve">6.4 Affluent / Life Event Campaign Monitor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Tracks the 8 always-on life event campaigns individually: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760"/>
      </w:tblGrid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Campaign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Key Metric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Home Purchase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 (2–3x target)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Marriage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New Child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College Enrollment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Inheritance / Wealth Event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Job Change / Promotion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Divorce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Retirement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CVR vs. mass market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$150K+ HHI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6.5 MyMove / Mover Marketing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Charlotte MVP pilot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Mover volume pipeline (39M annual base, $150K+ HHI subset)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Mover-to-account conversion rate (3–5x higher propensity benchmark)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Geographic expansion status against DMA framework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Module 6: Organic &amp; AEO Intelligence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Monitors the three organic disciplines — SEO, AEO, and GEO — that are increasingly important as AI-generated answers displace traditional search results. This module tracks RVGT’s most distinctive competitive capability.</w:t>
      </w:r>
    </w:p>
    <w:p>
      <w:pPr>
        <w:spacing w:after="200"/>
      </w:pPr>
    </w:p>
    <w:p>
      <w:pPr>
        <w:pStyle w:val="Heading2"/>
      </w:pPr>
      <w:r>
        <w:t xml:space="preserve">7.1 LLM Visibility Score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Platforms</w:t>
            </w:r>
          </w:p>
        </w:tc>
        <w:tc>
          <w:tcPr>
            <w:tcW w:type="dxa" w:w="6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Google AI Overviews, ChatGPT, Perplexity, Claude, Gemini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Prompts Tracked</w:t>
            </w:r>
          </w:p>
        </w:tc>
        <w:tc>
          <w:tcPr>
            <w:tcW w:type="dxa" w:w="6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124 total (28 primary, 96 secondary)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Markets</w:t>
            </w:r>
          </w:p>
        </w:tc>
        <w:tc>
          <w:tcPr>
            <w:tcW w:type="dxa" w:w="6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56 (aligned to 46-DMA geo-optimization framework)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Refresh</w:t>
            </w:r>
          </w:p>
        </w:tc>
        <w:tc>
          <w:tcPr>
            <w:tcW w:type="dxa" w:w="6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Weekly automated via Profound / BrightEdge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Tyler O’Rourke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LLM Visibility Metrics (per Tier 1 Prompt Benchmarking):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Mention Rate — % of queries where Fifth Third appears in AI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Average Position — mean rank when listed (1 = first mentioned)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Share of Voice — brand mentions as % of total brand mentions vs. 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Sentiment Score — -1 to +1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Citation Rate — % of mentions linking to 53.com domain</w:t>
      </w:r>
    </w:p>
    <w:p>
      <w:pPr>
        <w:spacing w:after="200"/>
      </w:pPr>
    </w:p>
    <w:p>
      <w:pPr>
        <w:pStyle w:val="Heading2"/>
      </w:pPr>
      <w:r>
        <w:t xml:space="preserve">7.2 SEO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Organic account volume (target: track the ~2K extra accounts/yr from SEO path streamlining)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Keyword ranking distribution (page 1 / page 2 / page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Organic traffic by product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SEMrush rank change alerts (auto-ingested)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Content calendar adherence (AIO optimizations, article rewrites)</w:t>
      </w:r>
    </w:p>
    <w:p>
      <w:pPr>
        <w:spacing w:after="200"/>
      </w:pPr>
    </w:p>
    <w:p>
      <w:pPr>
        <w:pStyle w:val="Heading2"/>
      </w:pPr>
      <w:r>
        <w:t xml:space="preserve">7.3 Competitive AEO Benchmarking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For each BD target and key competitor, show their LLM Visibility Score alongside FITB’s. This powers the BD pitch (“When a small business owner asks ChatGPT for the best bank, does your bank appear?”) and validates RVGT’s differentiation.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Module 7: Product &amp; Experience Innovation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Tracks the product innovation pipeline and the mobile/OLB experience transformation roadmap. Less operational than other modules — more of a strategic progress tracker.</w:t>
      </w:r>
    </w:p>
    <w:p>
      <w:pPr>
        <w:spacing w:after="200"/>
      </w:pPr>
    </w:p>
    <w:p>
      <w:pPr>
        <w:pStyle w:val="Heading2"/>
      </w:pPr>
      <w:r>
        <w:t xml:space="preserve">8.1 Product Pipeline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160"/>
      </w:tblGrid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Product Initiative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Key Metric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Connection to Funnel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Loyalty Rewards Enhancement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 Design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Enrollment rate, redemption rate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Retention — deepen engagement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AI Product Creator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 Build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Recommendation acceptance rate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Conversion — product attachment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Fifth Third Life Card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Card activation, life stage match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Acquisition + Retention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Lonely Planet Travel Card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 Market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Applications, spend per card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Affluent acquisition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Points Guy Card (RV vertical)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 Market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Applications from TPG audience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Affluent acquisition via RV media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Mobile / OLB Transformation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Wave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Wave 1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Core journey stabilization (account opening, payments, servicing)</w:t>
            </w:r>
          </w:p>
        </w:tc>
      </w:tr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Wave 2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Einstein AI integration, personalization, conversion funnel connection</w:t>
            </w:r>
          </w:p>
        </w:tc>
      </w:tr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Wave 3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Transform</w:t>
            </w:r>
          </w:p>
        </w:tc>
        <w:tc>
          <w:tcPr>
            <w:tcW w:type="dxa" w:w="1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Future</w:t>
            </w:r>
          </w:p>
        </w:tc>
        <w:tc>
          <w:tcPr>
            <w:tcW w:type="dxa" w:w="4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Fifth Third Assist AI, conversational banking, AI-first experience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Testing Velocity Tracker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Monitors the 3x faster testing engine achievement from Q1 2026. Tracks: active tests running, average test duration, winning variant deployment speed, and cumulative conversion lift from testing. Alerts if the testing cadence drops below the Q1 2026 baseline.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Module 8: Operations Command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The operational backbone — team management, approval workflows, launch calendars, and system health monitoring. Keeps the CMO informed on execution without requiring them to attend every standup.</w:t>
      </w:r>
    </w:p>
    <w:p>
      <w:pPr>
        <w:spacing w:after="200"/>
      </w:pPr>
    </w:p>
    <w:p>
      <w:pPr>
        <w:pStyle w:val="Heading2"/>
      </w:pPr>
      <w:r>
        <w:t xml:space="preserve">9.1 Launch Calendar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unified calendar showing every campaign launch, content deployment, test start/stop, product release, and system go-live. Pulls from Jira, Slack, and the creative sprint planning workflow. Each event is tagged by workstream and shows its approval status.</w:t>
      </w:r>
    </w:p>
    <w:p>
      <w:pPr>
        <w:spacing w:after="200"/>
      </w:pPr>
    </w:p>
    <w:p>
      <w:pPr>
        <w:pStyle w:val="Heading2"/>
      </w:pPr>
      <w:r>
        <w:t xml:space="preserve">9.2 Team Capacity &amp; Velocity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Sprint burndown and velocity by pod/workstream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Resource utilization heat map (who is overloaded, who has capacity)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Ticket aging for Highest/High priority items (e.g., RVGT-387 Cycode SCA Vulnerability)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Blocked ticket alerts with escalation path</w:t>
      </w:r>
    </w:p>
    <w:p>
      <w:pPr>
        <w:spacing w:after="200"/>
      </w:pPr>
    </w:p>
    <w:p>
      <w:pPr>
        <w:pStyle w:val="Heading2"/>
      </w:pPr>
      <w:r>
        <w:t xml:space="preserve">9.3 Approval Queue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 centralized queue of items awaiting CMO approval: budget reallocation requests, new campaign launches, creative sign-offs, DMA tier changes, and vendor evaluations. Each item shows: requestor, requested action, estimated impact, deadline, and a one-click approve/reject.</w:t>
      </w:r>
    </w:p>
    <w:p>
      <w:pPr>
        <w:spacing w:after="200"/>
      </w:pPr>
    </w:p>
    <w:p>
      <w:pPr>
        <w:pStyle w:val="Heading2"/>
      </w:pPr>
      <w:r>
        <w:t xml:space="preserve">9.4 Cross-Enabler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InteractIQ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Live (late April 2026)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Event flow volume, data freshness, Salesforce sync lag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CASy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Launching May 2026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Offer eligibility API response time, fulfillment tracking coverage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Velocity Lens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ARC review complete (4/13)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Query volume, response quality, Claude API latency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AEM Migration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Stalled — 9/1/2026 target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Migration % complete, redirect coverage, staging vs. production delta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Einstein Personalization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Persona segment freshness, NBA model accuracy, personalization coverage</w:t>
            </w:r>
          </w:p>
        </w:tc>
      </w:tr>
      <w:tr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Velocity 360 ETL</w:t>
            </w:r>
          </w:p>
        </w:tc>
        <w:tc>
          <w:tcPr>
            <w:tcW w:type="dxa" w:w="24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Active</w:t>
            </w:r>
          </w:p>
        </w:tc>
        <w:tc>
          <w:tcPr>
            <w:tcW w:type="dxa" w:w="45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Pipeline freshness (&lt; 24hr lag), record count, attribute coverage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9.5 Competitive Intelligence Feed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An auto-curated feed of competitive signals: Sensor Tower ad spend shifts, SEMrush competitive alerts, earnings call highlights from tracked banks, and hiring pattern signals. Sourced from the second-brain wiki’s entity and synthesis pages plus live monitoring tools.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Apex ↔ Kamino Integration Specification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Apex and Kamino communicate through a shared directive bus. When the CMO makes a decision in Apex, the system generates a structured directive that Kamino consumes and executes. Kamino reports execution status and outcome data back through the shared data lake.</w:t>
      </w:r>
    </w:p>
    <w:p>
      <w:pPr>
        <w:spacing w:after="200"/>
      </w:pPr>
    </w:p>
    <w:p>
      <w:pPr>
        <w:pStyle w:val="Heading2"/>
      </w:pPr>
      <w:r>
        <w:t xml:space="preserve">10.1 Directive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Directive Category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Apex Origin Module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Kamino Action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Budget Reallocation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Shift $50K from Streaming Audio to CTV in Scale T1 DMAs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Update platform budgets, adjust bid caps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DMA Tier Change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Move Jacksonville from Experiment to Scale T2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Enable campaigns, set bids, deploy creative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Channel Mix Adjustment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Increase Meta from 35% to 42% of brand media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Redistribute daily budgets across platforms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Life Event Toggle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Pause Divorce campaign; increase Retirement budget 20%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Pause/enable campaign sets, adjust budgets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Test Launch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Deploy new landing page variant for checking in Nashville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Configure A/B split, set traffic allocation, deploy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Recovery Sequence Update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Change 0–2hr recovery from email to SMS for mobile users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Update Kamino trigger rules, deploy new sequence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Offer Strategy Change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Enable stacked direct-deposit bonus for Scale T1 DMAs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Push offer config to CASy, update eligibility rules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Alert Acknowledgment</w:t>
            </w:r>
          </w:p>
        </w:tc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Suppress MOB6 retention alert for fraud-adjustment period</w:t>
            </w:r>
          </w:p>
        </w:tc>
        <w:tc>
          <w:tcPr>
            <w:tcW w:type="dxa" w:w="1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Scorecard</w:t>
            </w:r>
          </w:p>
        </w:tc>
        <w:tc>
          <w:tcPr>
            <w:tcW w:type="dxa" w:w="27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Mark alert resolved, pause related auto-actions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Directive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CMO takes action in Apex (e.g., drags DMA to new tier)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Apex generates directive with: action type, parameters, estimated impact, timestamp, requestor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Directive enters approval queue (auto-approved if within CMO’s authority; escalated if exceeding thresholds)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Approved directive is published to the directive bus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Kamino picks up directive, validates feasibility, begins execution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Kamino reports: execution start, progress updates, completion or failure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Apex updates the relevant module with the execution status and shows outcome data as it becomes available</w:t>
      </w:r>
    </w:p>
    <w:p>
      <w:pPr>
        <w:spacing w:after="200"/>
      </w:pPr>
    </w:p>
    <w:p>
      <w:pPr>
        <w:pStyle w:val="Heading2"/>
      </w:pPr>
      <w:r>
        <w:t xml:space="preserve">10.3 Data Contract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Both applications share a versioned data contract defining the schema for: campaign performance records, funnel events, cohort snapshots, offer events, and behavioral trigger logs. The contract is the single source of truth — Kamino writes to it; Apex reads from it. Breaking changes require coordinated releases.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11. Alert Engine Specification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The alert engine is a cross-cutting system that monitors every metric in every module against defined thresholds. It generates alerts at three severity levels and routes them to the appropriate audience.</w:t>
      </w:r>
    </w:p>
    <w:p>
      <w:pPr>
        <w:spacing w:after="200"/>
      </w:pPr>
    </w:p>
    <w:p>
      <w:pPr>
        <w:pStyle w:val="Heading2"/>
      </w:pPr>
      <w:r>
        <w:t xml:space="preserve">11.1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Routing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KPI breach that threatens contractual targets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CMO + workstream lead immediately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MOB6 retention &lt; 73% (2+ pts below already-below target)</w:t>
            </w:r>
          </w:p>
        </w:tc>
      </w:tr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Metric trending toward threshold breach within 2 weeks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Workstream lead; CMO daily digest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Brand media pacing 15% ahead in a DMA tier</w:t>
            </w:r>
          </w:p>
        </w:tc>
      </w:tr>
      <w:tr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Notable change worth awareness but not action</w:t>
            </w:r>
          </w:p>
        </w:tc>
        <w:tc>
          <w:tcPr>
            <w:tcW w:type="dxa" w:w="26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CMO weekly digest only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LLM Visibility Score up 3pts for a prompt category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Alert Rules (Representative 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Retention cliff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MOB6 &lt; 73%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overrun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Any budget category &gt; 110% of monthly plan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 blockage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Any stage CVR drops &gt; 5pts WoW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CPC spike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Non-branded CPC &gt; $8.00 (2x benchmark)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Search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Frequency shortfall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Scale T1 DMA &lt; 3x weekly frequency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Brand Media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Test stall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A/B test running &gt; 30 days without significance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Product/Experience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Qualifile drift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Average Qualifile Score for new cohort drops &gt; 10%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AEO drop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LLM Visibility mention rate drops &gt; 5pts MoM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AEO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Content launch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New AIO optimization or article deployed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Info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AEO</w:t>
            </w:r>
          </w:p>
        </w:tc>
      </w:tr>
      <w:tr>
        <w:tc>
          <w:tcPr>
            <w:tcW w:type="dxa" w:w="2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30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InteractIQ event lag &gt; 4 hours</w:t>
            </w:r>
          </w:p>
        </w:tc>
        <w:tc>
          <w:tcPr>
            <w:tcW w:type="dxa" w:w="1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Warning</w:t>
            </w:r>
          </w:p>
        </w:tc>
        <w:tc>
          <w:tcPr>
            <w:tcW w:type="dxa" w:w="31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12. Implementation Roadmap</w:t>
      </w:r>
    </w:p>
    <w:p>
      <w:pPr>
        <w:spacing w:after="200"/>
      </w:pPr>
    </w:p>
    <w:p>
      <w:pPr>
        <w:pStyle w:val="Heading2"/>
      </w:pPr>
      <w:r>
        <w:t xml:space="preserve">12.1 Phase 1: Foundation (Weeks 1–6)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Goal: Core infrastructure + Executive Scorecard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Data lake schema and ingestion pipelines for top 5 sources (Google Ads, Meta, CRM, GA4, Velocity 360)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Apex-Kamino directive bus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Executive Scorecard module with 7 primary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Alert engine with Critical-severity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Authentication and role-based access (CMO, workstream leads, analysts)</w:t>
      </w:r>
    </w:p>
    <w:p>
      <w:pPr>
        <w:spacing w:after="200"/>
      </w:pPr>
    </w:p>
    <w:p>
      <w:pPr>
        <w:pStyle w:val="Heading2"/>
      </w:pPr>
      <w:r>
        <w:t xml:space="preserve">12.2 Phase 2: Allocation &amp; Funnel (Weeks 7–12)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Goal: CMO can manage spend and see funnel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Spend Allocation module with channel mix controls and DMA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Acquisition Funnel module with 6-stage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Scenario modeling engine (v1 — linear projections)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Abandonment recovery tracker (reads from Kamino)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Landing page performance integration (GA4 + Einstein)</w:t>
      </w:r>
    </w:p>
    <w:p>
      <w:pPr>
        <w:spacing w:after="200"/>
      </w:pPr>
    </w:p>
    <w:p>
      <w:pPr>
        <w:pStyle w:val="Heading2"/>
      </w:pPr>
      <w:r>
        <w:t xml:space="preserve">12.3 Phase 3: Retention &amp; Organic (Weeks 13–18)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Goal: Full retention visibility + AEO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Onboarding &amp; Retention module with PFI flywheel, cohort analysis, geo-heat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CASy integration (aligned to CASy launch in May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InteractIQ behavioral trigger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AEO / Organic Intelligence module with LLM Visibility Score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Competitive AEO benchmarking</w:t>
      </w:r>
    </w:p>
    <w:p>
      <w:pPr>
        <w:spacing w:after="200"/>
      </w:pPr>
    </w:p>
    <w:p>
      <w:pPr>
        <w:pStyle w:val="Heading2"/>
      </w:pPr>
      <w:r>
        <w:t xml:space="preserve">12.4 Phase 4: Paid Channels &amp; Products (Weeks 19–24)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Goal: Complete channel-level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Paid Search deep-dive dashboard (SEM, VBB, PMax)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Paid Social dashboard (Meta, Advantage+, native lead forms)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Brand Media dashboard (BEI, frequency, incrementality)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Life Event and MyMove campaign trackers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Product pipeline and mobile transformation tracker</w:t>
      </w:r>
    </w:p>
    <w:p>
      <w:pPr>
        <w:spacing w:after="200"/>
      </w:pPr>
    </w:p>
    <w:p>
      <w:pPr>
        <w:pStyle w:val="Heading2"/>
      </w:pPr>
      <w:r>
        <w:t xml:space="preserve">12.5 Phase 5: Operations &amp; Polish (Weeks 25–30)</w:t>
      </w:r>
    </w:p>
    <w:p>
      <w:pPr>
        <w:spacing w:after="120"/>
      </w:pPr>
      <w:r>
        <w:rPr>
          <w:rFonts w:ascii="Libre Franklin" w:cs="Libre Franklin" w:eastAsia="Libre Franklin" w:hAnsi="Libre Franklin"/>
          <w:b/>
          <w:bCs/>
          <w:color w:val="303A42"/>
          <w:sz w:val="22"/>
          <w:szCs w:val="22"/>
        </w:rPr>
        <w:t xml:space="preserve">Goal: Full operational command + scenario modeling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Operations Command module (calendar, capacity, approvals, system health)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Competitive intelligence feed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Scenario modeling v2 (ML-powered projections using Velocity 360 historical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Custom report builder for MBR/QBR deck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Mobile-responsive views for CMO access from phone/tablet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Full test cycle and UAT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13. Success Criteria</w:t>
      </w:r>
    </w:p>
    <w:p>
      <w:pPr>
        <w:spacing w:after="200"/>
      </w:pPr>
    </w:p>
    <w:p>
      <w:pPr>
        <w:pStyle w:val="Heading2"/>
      </w:pPr>
      <w:r>
        <w:t xml:space="preserve">13.1 Quantitative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Time to daily status check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2 minutes (from current ~30 min)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Session timer in Apex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Budget reallocation cycle time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1 hour (from current ~2–3 days)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Directive bus timestamps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Alert-to-action latency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4 hours for Critical alerts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Alert acknowledgment timestamps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MBR/QBR deck prep time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&lt; 2 hours (from current ~8–12 hours)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Report generation timestamps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All KPIs &lt; 24 hours stale; spend data &lt; 1 hour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Data pipeline monitoring</w:t>
            </w:r>
          </w:p>
        </w:tc>
      </w:tr>
      <w:tr>
        <w:tc>
          <w:tcPr>
            <w:tcW w:type="dxa" w:w="28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CMO time on allocation vs. reporting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80/20 split (from current ~30/70)</w:t>
            </w:r>
          </w:p>
        </w:tc>
        <w:tc>
          <w:tcPr>
            <w:tcW w:type="dxa" w:w="33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Self-reported + usage analytics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13.2 Qualitative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CMO can answer any Project Velocity performance question without leaving Apex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No manual data pulls required for routine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Every strategy workstream from the Full-Funnel Marketing Strategy synthesis has a corresponding Apex module or sub-view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Kamino handles 100% of routine execution; CMO interacts only through Apex directives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Alert engine catches anomalies before they appear in monthly reviews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14. Appendix: Strategy-to-Module Mapping</w:t>
      </w:r>
    </w:p>
    <w:p>
      <w:pPr>
        <w:spacing w:after="120"/>
      </w:pPr>
      <w:r>
        <w:rPr>
          <w:rFonts w:ascii="Libre Franklin" w:cs="Libre Franklin" w:eastAsia="Libre Franklin" w:hAnsi="Libre Franklin"/>
          <w:color w:val="303A42"/>
          <w:sz w:val="22"/>
          <w:szCs w:val="22"/>
        </w:rPr>
        <w:t xml:space="preserve">Cross-reference showing how each element of the FITB Full-Funnel Marketing Strategy maps to an Apex module, ensuring complete coverage: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Strategy Workstream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Primary Module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303A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1F4F7"/>
                <w:sz w:val="20"/>
                <w:szCs w:val="20"/>
              </w:rPr>
              <w:t xml:space="preserve">Secondary Module(s)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1. Mass Marketing / Brand Media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 (Brand Media)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Allocation, Scorecard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2. Affluent Life Event Strategy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 (Life Event)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3. Paid Social (Meta)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 (Meta)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Spend Allocation, Funnel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4. Paid Search + SEO/AEO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 (SEM) + AEO Module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Scorecard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5. Conversion / Site Experience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Acquisition Funnel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Product/Experience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6. Application Flow Optimization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Acquisition Funnel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7. Onboarding &amp; EMOB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 &amp; Retention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Scorecard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8. Branch/Banker Integration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 (Brand — BEI)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9. Mobile / OLB Experience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Product &amp; Experience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Funnel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10. Product Enhancements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Product &amp; Experience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Paid Channels (Affluent)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Cross-enabler: InteractIQ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 &amp; Retention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 (System Health)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Cross-enabler: CASy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 &amp; Retention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 (System Health)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Cross-enabler: Velocity Lens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Scorecard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 (System Health)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Cross-enabler: Einstein AI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Acquisition Funnel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Onboarding, Product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Cross-enabler: AEM Migration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N/A (stalled)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 (System Health)</w:t>
            </w:r>
          </w:p>
        </w:tc>
      </w:tr>
      <w:tr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Cross-enabler: Velocity 360 ETL</w:t>
            </w:r>
          </w:p>
        </w:tc>
        <w:tc>
          <w:tcPr>
            <w:tcW w:type="dxa" w:w="320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All modules</w:t>
            </w:r>
          </w:p>
        </w:tc>
        <w:tc>
          <w:tcPr>
            <w:tcW w:type="dxa" w:w="2960"/>
            <w:tcBorders>
              <w:top w:val="single" w:color="D4DBE0" w:sz="1"/>
              <w:left w:val="single" w:color="D4DBE0" w:sz="1"/>
              <w:bottom w:val="single" w:color="D4DBE0" w:sz="1"/>
              <w:right w:val="single" w:color="D4DBE0" w:sz="1"/>
            </w:tcBorders>
            <w:shd w:fill="F1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ibre Franklin" w:cs="Libre Franklin" w:eastAsia="Libre Franklin" w:hAnsi="Libre Franklin"/>
                <w:color w:val="303A42"/>
                <w:sz w:val="20"/>
                <w:szCs w:val="20"/>
              </w:rPr>
              <w:t xml:space="preserve">Operations (System Health)</w:t>
            </w:r>
          </w:p>
        </w:tc>
      </w:tr>
    </w:tbl>
    <w:p>
      <w:pPr>
        <w:spacing w:after="200"/>
      </w:pPr>
    </w:p>
    <w:p>
      <w:pPr>
        <w:spacing w:after="120"/>
        <w:jc w:val="center"/>
        <w:rPr>
          <w:i/>
          <w:iCs/>
          <w:color w:val="9BA6B1"/>
        </w:rPr>
      </w:pPr>
      <w:r>
        <w:rPr>
          <w:rFonts w:ascii="Libre Franklin" w:cs="Libre Franklin" w:eastAsia="Libre Franklin" w:hAnsi="Libre Franklin"/>
          <w:i/>
          <w:iCs/>
          <w:color w:val="9BA6B1"/>
          <w:sz w:val="22"/>
          <w:szCs w:val="22"/>
        </w:rPr>
        <w:t xml:space="preserve">— End of Build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BE0" w:sz="2" w:space="4"/>
      </w:pBdr>
      <w:jc w:val="right"/>
    </w:pPr>
    <w:r>
      <w:rPr>
        <w:rFonts w:ascii="Libre Franklin" w:cs="Libre Franklin" w:eastAsia="Libre Franklin" w:hAnsi="Libre Franklin"/>
        <w:color w:val="9BA6B1"/>
        <w:sz w:val="16"/>
        <w:szCs w:val="16"/>
      </w:rPr>
      <w:t xml:space="preserve">© Red Ventures 2026  |  Confidential    </w:t>
    </w:r>
    <w:r>
      <w:rPr>
        <w:rFonts w:ascii="Libre Franklin" w:cs="Libre Franklin" w:eastAsia="Libre Franklin" w:hAnsi="Libre Franklin"/>
        <w:color w:val="9BA6B1"/>
        <w:sz w:val="16"/>
        <w:szCs w:val="16"/>
      </w:rPr>
      <w:t xml:space="preserve">Page </w:t>
    </w:r>
    <w:r>
      <w:rPr>
        <w:rFonts w:ascii="Libre Franklin" w:cs="Libre Franklin" w:eastAsia="Libre Franklin" w:hAnsi="Libre Franklin"/>
        <w:color w:val="9BA6B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16" w:sz="4" w:space="4"/>
      </w:pBdr>
    </w:pPr>
    <w:r>
      <w:rPr>
        <w:rFonts w:ascii="Libre Franklin" w:cs="Libre Franklin" w:eastAsia="Libre Franklin" w:hAnsi="Libre Franklin"/>
        <w:color w:val="9BA6B1"/>
        <w:sz w:val="18"/>
        <w:szCs w:val="18"/>
      </w:rPr>
      <w:t xml:space="preserve">Apex Dashboard Suite  |  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re Franklin" w:cs="Libre Franklin" w:eastAsia="Libre Franklin" w:hAnsi="Libre Frankli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Libre Franklin" w:cs="Libre Franklin" w:eastAsia="Libre Franklin" w:hAnsi="Libre Franklin"/>
      <w:b/>
      <w:bCs/>
      <w:color w:val="303A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Libre Franklin" w:cs="Libre Franklin" w:eastAsia="Libre Franklin" w:hAnsi="Libre Franklin"/>
      <w:b/>
      <w:bCs/>
      <w:color w:val="8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Libre Franklin" w:cs="Libre Franklin" w:eastAsia="Libre Franklin" w:hAnsi="Libre Franklin"/>
      <w:b/>
      <w:bCs/>
      <w:color w:val="303A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2026-05-06T20:41:45.650Z</dcterms:created>
  <dcterms:modified xsi:type="dcterms:W3CDTF">2026-05-06T20:41:45.651Z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