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1: Study Population**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1609"/>
        <w:gridCol w:w="1969"/>
        <w:gridCol w:w="2428"/>
        <w:gridCol w:w="1505"/>
      </w:tblGrid>
      <w:tr>
        <w:trPr>
          <w:trHeight w:val="763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NNRTI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PI + NNRTI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470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(32, 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(32, 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(31, 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(31, 44)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288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(23%)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 (77%)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(54%)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(18%)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(24%)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Above 200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(45%)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Below 200 cell count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772 (55%)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 (55%)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(55%)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2026-03-19T10:59:11Z</dcterms:modified>
  <cp:category/>
</cp:coreProperties>
</file>