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1: Study Population**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1609"/>
        <w:gridCol w:w="1969"/>
        <w:gridCol w:w="2428"/>
        <w:gridCol w:w="1505"/>
      </w:tblGrid>
      <w:tr>
        <w:trPr>
          <w:trHeight w:val="763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1,397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NNRTI + NRTI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463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PI + NNRTI + NRTI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464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PI + NRTI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470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(32, 44)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(32, 43)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(31, 44)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(31, 44)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288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 (23%)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1,109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367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363 (77%)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751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249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255 (54%)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 (18%)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(3.8%)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368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 (24%)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Cell Count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Above 200 cell count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(45%)</w:t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Below 200 cell count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772 (55%)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254 (55%)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258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 (55%)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(Q1, Q3);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2026-03-18T15:08:57Z</dcterms:modified>
  <cp:category/>
</cp:coreProperties>
</file>