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Patient Characteristics**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10"/>
        <w:gridCol w:w="3004"/>
        <w:gridCol w:w="3004"/>
        <w:gridCol w:w="3004"/>
      </w:tblGrid>
      <w:tr>
        <w:trPr>
          <w:trHeight w:val="763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1,397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Three Class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Two Class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(32, 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(31, 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(32, 44)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CD4+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(36, 328)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(30, 335)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(38, 325)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 (22%)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 (78%)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504 (54%)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(26%)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Viral Overload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124,173 (33,905, 407,487)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115,608 (37,717, 399,178)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130,101 (31,745, 411,507)</w:t>
            </w:r>
          </w:p>
        </w:tc>
      </w:tr>
      <w:tr>
        <w:trPr>
          <w:trHeight w:val="57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2026-03-02T16:18:27Z</dcterms:modified>
  <cp:category/>
</cp:coreProperties>
</file>