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1609"/>
        <w:gridCol w:w="1969"/>
        <w:gridCol w:w="2428"/>
        <w:gridCol w:w="1505"/>
      </w:tblGrid>
      <w:tr>
        <w:trPr>
          <w:trHeight w:val="763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1,397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NNRTI + NRTI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463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PI + NNRTI + NRTI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464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PI + NRTI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470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(32, 44)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(32, 43)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(31, 44)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(31, 44)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288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 (23%)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1,109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 (77%)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751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249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 (54%)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 (18%)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 (24%)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Cell 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Above 200 cell 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(45%)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Below 200 cell count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772 (55%)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254 (55%)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 (55%)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2026-03-19T12:04:46Z</dcterms:modified>
  <cp:category/>
</cp:coreProperties>
</file>