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Participant Demographics**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45"/>
        <w:gridCol w:w="2025"/>
        <w:gridCol w:w="2025"/>
        <w:gridCol w:w="2025"/>
      </w:tblGrid>
      <w:tr>
        <w:trPr>
          <w:trHeight w:val="7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Delayed Graft Function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724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167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502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(72%)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441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 (72%)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Donation After Cardiac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Recipient BMI at baseline (kg/m2)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 (24.7, 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 (24.4, 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29.6 (25.8, 34.8)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Donor age (years beyond 16, i.e. 17=1)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(11, 37)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(10, 37)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(21, 39)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Median (Q1, Q3)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2026-03-01T19:25:01Z</dcterms:modified>
  <cp:category/>
</cp:coreProperties>
</file>