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1609"/>
        <w:gridCol w:w="1969"/>
        <w:gridCol w:w="2428"/>
        <w:gridCol w:w="1505"/>
      </w:tblGrid>
      <w:tr>
        <w:trPr>
          <w:trHeight w:val="763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1,397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NNRTI + NRTI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463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PI + NNRTI + NRTI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464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PI + NRTI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470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(32, 44)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(32, 43)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(31, 44)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(31, 44)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288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 (23%)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1,109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367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379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363 (77%)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751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249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255 (54%)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 (18%)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(3.8%)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368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 (24%)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Cell Count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Above 200 cell count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625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206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(45%)</w:t>
            </w:r>
          </w:p>
        </w:tc>
      </w:tr>
      <w:tr>
        <w:trPr>
          <w:trHeight w:val="61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Below 200 cell count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772 (55%)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254 (55%)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258 (56%)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260 (55%)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Q3); 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2026-03-19T12:01:19Z</dcterms:modified>
  <cp:category/>
</cp:coreProperties>
</file>