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VISTO:</w:t>
      </w:r>
    </w:p>
    <w:p w:rsidR="00414D2F" w:rsidRPr="00414D2F" w:rsidRDefault="00414D2F" w:rsidP="00414D2F">
      <w:pPr>
        <w:spacing w:after="0" w:line="360" w:lineRule="auto"/>
        <w:ind w:firstLine="993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Expediente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; y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la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"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", a favor de la empresa 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 xml:space="preserve">bajo el CUIT </w:t>
      </w:r>
      <w:proofErr w:type="spellStart"/>
      <w:r w:rsidRPr="00414D2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N°</w:t>
      </w:r>
      <w:proofErr w:type="spellEnd"/>
      <w:r w:rsidR="003E5BEC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instrText xml:space="preserve"> MERGEFIELD CUIT </w:instrText>
      </w:r>
      <w:r w:rsidR="003E5BEC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Cs/>
          <w:noProof/>
          <w:kern w:val="2"/>
          <w:sz w:val="24"/>
          <w:szCs w:val="24"/>
          <w14:ligatures w14:val="standardContextual"/>
        </w:rPr>
        <w:t>«CUIT»</w:t>
      </w:r>
      <w:r w:rsidR="003E5BEC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por la suma de </w:t>
      </w:r>
      <w:r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«Monto_Original_L»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obra de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la Dirección General de Inspecciones, con la conformidad de la Subsecretaría de Infraestructura y Mantenimiento, informó la necesidad de gestionar una alteración contractual para la obra mencionada;</w:t>
      </w:r>
      <w:bookmarkStart w:id="0" w:name="_GoBack"/>
      <w:bookmarkEnd w:id="0"/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Que mediante Orden de Servicio N° 3, la Inspección de Obra informó a la contratista la necesidad de extensión de 25 ms adicionales del conducto de hormigón, resultando incrementados en consecuencia los ítems 3: excavación común para construcción de conducto de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H°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A°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(132.00 m3);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Item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4: Depresión de napas subterráneas (0.25 GI); Ítem 5: Relleno de canal c/ material granular (65 m3); Ítem 6.1: Construcción de canal de desagüe de hormigón H25 (tabique y fondo) (47 m3);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Item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6.2: Construcción, traslado y colocación de tapas de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H°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A°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3m x 2,40m (6 Un); e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Item</w:t>
      </w:r>
      <w:proofErr w:type="spellEnd"/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7: Relleno de espacios libres entre losas y zanjas con material seleccionado (32 m3);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Nota de Pedido N° 3 la contratista aceptó la ejecución de los trabajos adicionales.</w:t>
      </w:r>
    </w:p>
    <w:p w:rsidR="006A16D6" w:rsidRDefault="003C2585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Que la Dirección de Cómputo y Presupuesto, dependiente de la Subsecretaría de Gestión de Contrataciones de Obras Públicas, verificó los análisis de precios, correspondientes a los nuevos ítems presentados por parte de la empresa, indicando que los mismos corresponden a tareas no contempladas en la obra básica, concluyendo que los precios </w:t>
      </w: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lastRenderedPageBreak/>
        <w:t>ofertados por los materiales, maquinarias y mano de obra se consideran valores normales de mercado, constatando asimismo que el coeficiente de pase es el presentado oportunamente al momento de ofertar la obra;</w:t>
      </w: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a través de Pase N° …</w:t>
      </w:r>
      <w:proofErr w:type="gramStart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…….</w:t>
      </w:r>
      <w:proofErr w:type="gramEnd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. intervino la Dirección de Administración, Promoción y Recupero de Obras, informando que se procedió a ampliar el Registro de Oposición N° 15/2024, oportunamente publicado, y cuyo vencimiento operó el día 09 de diciembre de 2025, sin registrar oposiciones;</w:t>
      </w:r>
    </w:p>
    <w:p w:rsidR="003C2585" w:rsidRDefault="006A16D6" w:rsidP="006A16D6">
      <w:pPr>
        <w:spacing w:before="200" w:after="200" w:line="360" w:lineRule="auto"/>
        <w:ind w:left="-2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se agregó a las actuaciones la Memoria del Cuadro Comparativo de Obras e Importes Autorizados y Modificaciones a Autorizar, suscrito por la inspección de obra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en el cual se desarrollan las variaciones </w:t>
      </w:r>
      <w:r w:rsidR="00D53B9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necesarias</w:t>
      </w: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obra de referencia;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obra en el expediente el Cuadro Comparativo de Obras e Importes Autorizados y Modificaciones a Autorizar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982FA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suscrito de conformidad por la contratista, mediante el cual se expresan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gramStart"/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</w:t>
      </w:r>
      <w:proofErr w:type="gramEnd"/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la documentación mencionada, surge no sólo la manifestación por parte de la autoridad de aplicación de la necesidad de </w:t>
      </w:r>
      <w:r w:rsidR="006A16D6" w:rsidRPr="00E4036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ejecutar los 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trabajos tramitados no contemplados en la obra básica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sino también la obligación expresa asumida por la contratista de llevar adelante la alteración contractual en relación a dicha obra, en los términos del artículo 45°) de la Ley provincial de Obra Pública N° 687, que resulta de aplicación a la Administración Municipal;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en tal sentido, el citado artículo 45°) establece que la contratista estará obligada a aceptar las alteraciones de obra que produzcan un aumento o reducción que no excedan en conjunto del 20% del monto básico contractual, por lo que, a contrario sensu, aquellas alteraciones contractuales que superen el porcentual referido, quedarán sujetas a la voluntad de la empresa contratista, quien puede optar por no aceptar dichas variaciones, no contando la Administración con facultades para imponer su ejecución;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asimismo obra agregado el plan de trabajo y la curva de inversiones reflejando las variaciones tramitadas en las presentes actuaciones;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Auditoria Interna, dependiente de la Contaduría Municipal, se expidió mediante informe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formulando distintas consideraciones sobre el presente trámite, obrándose en consecuencia, y subsanándose las mismas mediante las aclaraciones correspondientes, formuladas por el área competente;</w:t>
      </w: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Que la Dirección General de Articulación Presupuestaria, dependiente de la Subsecretaría de Gestión de Contrataciones de Obras Públicas, emitió Pase N°</w:t>
      </w:r>
      <w:proofErr w:type="gramStart"/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indicando que la presente obra se encuentra incorporada en el Plan Anual de Obras para el Ejercicio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aprobado mediante Ordenanza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y Decreto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contando con crédito presupuestario suficiente en la imputación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y que se registró el gasto que demandará la presente a través de la Reserva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;</w:t>
      </w:r>
    </w:p>
    <w:p w:rsidR="006A16D6" w:rsidRPr="00E40364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Presupuesto, con la conformidad del Subsecretario de Hacienda, se expidió mediante Pase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ratificando la imputación indicada por la Dirección General de Articulación Presupuestaria;</w:t>
      </w: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se expidió la Dirección de Asistencia Jurídica Contrataciones, de la Secretaría de Infraestructura y Planeamiento realizando el control de legalidad de las actuaciones, e informando que corresponde la aprobación de la alteración contractual tramitada mediante Decreto Municipal;</w:t>
      </w:r>
    </w:p>
    <w:p w:rsidR="00414D2F" w:rsidRPr="00414D2F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intervino la Dirección Municipal de Asuntos Jurídicos, manifestando no tener observaciones legales que formular respecto del presente trámite administrativo;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resulta necesario el dictado de la norma legal </w:t>
      </w:r>
      <w:r w:rsidR="00D53B9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convalidando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alteración contractual 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tramitada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para la obra </w: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“</w: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contratada con la empresa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3E5BEC" w:rsidRP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;</w:t>
      </w: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Por ello: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EL INTENDENTE MUNICIPAL DE LA CIUDAD DE NEUQUÉN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DECRETA: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1)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: 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tenor de la Adenda al Contrato de Obra Pública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20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 suscribir entre la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MUNICIPALIDAD DE NEUQUÉN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la empresa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C.U.I.T. N°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conforme surge de lo expuesto en los considerandos que forman parte integrante del presente Decreto.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2):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y Modificaciones a Autorizar </w:t>
      </w:r>
      <w:proofErr w:type="spellStart"/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D53B9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10/11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correspondiente a la obra "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 contratada con la firma 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3E5BE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; el cual refleja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Dism_ </w:instrTex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«Dism_»</w:t>
      </w:r>
      <w:r w:rsidR="003E5BEC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3E5BE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3):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6A16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RECONOZCASE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mayor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volumen de obra </w:t>
      </w:r>
      <w:r w:rsidR="00D53B94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ejecutado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la suma de </w:t>
      </w:r>
      <w:r w:rsidRPr="00C752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Var_L </w:instrTex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«Var_L»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Var_ </w:instrTex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«Var_»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favor de la empresa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C752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4):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53B94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CONVALÍDASE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plan de trabajos y curva de Inversiones obrante a fs.</w:t>
      </w:r>
      <w:r w:rsidRPr="006A16D6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12/13</w:t>
      </w:r>
      <w:r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Expediente</w: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FA1513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752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5):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AUTORIZASE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de Tesorería, previa intervención de la Contaduría Municipal, a pagar la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suma dispuesta en el Artículo 3</w:t>
      </w:r>
      <w:r w:rsidR="008521F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°) del presente Decreto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contra la presentación del respectivo Certificado de Obra, y con cargo a la partida pertinente del Presupuesto de Gastos correspondiente.</w:t>
      </w:r>
    </w:p>
    <w:p w:rsidR="006A16D6" w:rsidRPr="00414D2F" w:rsidRDefault="006A16D6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Pr="00414D2F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lastRenderedPageBreak/>
        <w:t>ARTÍCULO 6):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presente Decreto será refrend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ado por los Secretarios de </w:t>
      </w:r>
      <w:r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Infraestructura y Planeamiento Urbano, y de Gobierno y Coordinación, a cargo de la Secretaría de Hacienda y Planificación Financiera.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6A16D6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7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REGISTRESE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publíquese, cúmplase de conformidad, </w:t>
      </w:r>
      <w:proofErr w:type="spellStart"/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remitase</w:t>
      </w:r>
      <w:proofErr w:type="spellEnd"/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Centro de Documentación e Información y, oportunamente, archívese.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ES COPIA</w:t>
      </w:r>
    </w:p>
    <w:p w:rsidR="00B1390E" w:rsidRDefault="00B1390E"/>
    <w:sectPr w:rsidR="00B1390E" w:rsidSect="003E5BEC">
      <w:pgSz w:w="12240" w:h="15840"/>
      <w:pgMar w:top="1440" w:right="1361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75379421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-135043089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2F"/>
    <w:rsid w:val="003C2585"/>
    <w:rsid w:val="003E5BEC"/>
    <w:rsid w:val="00414D2F"/>
    <w:rsid w:val="006A16D6"/>
    <w:rsid w:val="007E1EAB"/>
    <w:rsid w:val="00844D1E"/>
    <w:rsid w:val="008521F8"/>
    <w:rsid w:val="00982FAD"/>
    <w:rsid w:val="00B1390E"/>
    <w:rsid w:val="00C7521D"/>
    <w:rsid w:val="00D53B94"/>
    <w:rsid w:val="00FA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583527-EC51-4D35-9ACF-67760B6F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1341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9</cp:revision>
  <dcterms:created xsi:type="dcterms:W3CDTF">2026-01-16T15:44:00Z</dcterms:created>
  <dcterms:modified xsi:type="dcterms:W3CDTF">2026-05-19T17:39:00Z</dcterms:modified>
</cp:coreProperties>
</file>