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color w:val="B8332A"/>
          <w:sz w:val="22"/>
        </w:rPr>
        <w:t>MIT LiftLab 2026</w:t>
      </w:r>
    </w:p>
    <w:p>
      <w:pPr>
        <w:jc w:val="center"/>
      </w:pPr>
      <w:r>
        <w:rPr>
          <w:rFonts w:ascii="Calibri" w:hAnsi="Calibri"/>
          <w:b/>
          <w:color w:val="1A1612"/>
          <w:sz w:val="56"/>
        </w:rPr>
        <w:t>Guía de Slides</w:t>
      </w:r>
    </w:p>
    <w:p>
      <w:pPr>
        <w:jc w:val="center"/>
      </w:pPr>
      <w:r>
        <w:rPr>
          <w:rFonts w:ascii="Calibri" w:hAnsi="Calibri"/>
          <w:i/>
          <w:color w:val="7A7368"/>
          <w:sz w:val="32"/>
        </w:rPr>
        <w:t>De las Tienditas a las Aulas</w:t>
      </w:r>
    </w:p>
    <w:p>
      <w:pPr>
        <w:spacing w:before="40" w:after="40"/>
        <w:pBdr>
          <w:bottom w:val="single" w:sz="6" w:space="1" w:color="1A1612"/>
        </w:pBdr>
      </w:pPr>
    </w:p>
    <w:p>
      <w:pPr>
        <w:spacing w:before="160"/>
        <w:jc w:val="center"/>
      </w:pPr>
      <w:r>
        <w:rPr>
          <w:rFonts w:ascii="Calibri" w:hAnsi="Calibri"/>
          <w:color w:val="7A7368"/>
          <w:sz w:val="22"/>
        </w:rPr>
        <w:t>Qué es cada slide, qué muestra y por qué está ahí</w:t>
      </w:r>
    </w:p>
    <w:p>
      <w:pPr>
        <w:jc w:val="center"/>
      </w:pPr>
      <w:r>
        <w:rPr>
          <w:rFonts w:ascii="Calibri" w:hAnsi="Calibri"/>
          <w:color w:val="7A7368"/>
          <w:sz w:val="20"/>
        </w:rPr>
        <w:t>Fernanda Ita · Alexis Marcos · Carlos Torres</w:t>
      </w:r>
    </w:p>
    <w:p>
      <w:r>
        <w:br w:type="page"/>
      </w:r>
    </w:p>
    <w:p>
      <w:pPr>
        <w:spacing w:before="280" w:after="40"/>
      </w:pPr>
      <w:r>
        <w:rPr>
          <w:rFonts w:ascii="Consolas" w:hAnsi="Consolas"/>
          <w:b/>
          <w:color w:val="B8332A"/>
          <w:sz w:val="18"/>
        </w:rPr>
        <w:t xml:space="preserve">SLIDE 1   </w:t>
      </w:r>
      <w:r>
        <w:rPr>
          <w:rFonts w:ascii="Calibri" w:hAnsi="Calibri"/>
          <w:b/>
          <w:color w:val="1A1612"/>
          <w:sz w:val="28"/>
        </w:rPr>
        <w:t>Título — De las Tienditas a las Aulas</w:t>
      </w:r>
    </w:p>
    <w:p>
      <w:pPr>
        <w:spacing w:before="40" w:after="40"/>
        <w:pBdr>
          <w:bottom w:val="single" w:sz="6" w:space="1" w:color="B8332A"/>
        </w:pBdr>
      </w:pPr>
    </w:p>
    <w:p>
      <w:pPr>
        <w:spacing w:before="20" w:after="120"/>
      </w:pPr>
      <w:r>
        <w:rPr>
          <w:rFonts w:ascii="Consolas" w:hAnsi="Consolas"/>
          <w:i/>
          <w:color w:val="7A7368"/>
          <w:sz w:val="17"/>
        </w:rPr>
        <w:t>Habla: Fernanda</w:t>
      </w:r>
    </w:p>
    <w:p>
      <w:pPr>
        <w:spacing w:before="120" w:after="20"/>
      </w:pPr>
      <w:r>
        <w:rPr>
          <w:rFonts w:ascii="Consolas" w:hAnsi="Consolas"/>
          <w:b/>
          <w:color w:val="B8862A"/>
          <w:sz w:val="16"/>
        </w:rPr>
        <w:t>¿QUÉ MUESTRA?</w:t>
      </w:r>
    </w:p>
    <w:p>
      <w:pPr>
        <w:spacing w:before="20" w:after="80"/>
      </w:pPr>
      <w:r>
        <w:rPr>
          <w:rFonts w:ascii="Calibri" w:hAnsi="Calibri"/>
          <w:sz w:val="21"/>
        </w:rPr>
        <w:t>La portada de la presentación. Fondo negro, título en dos líneas, la pregunta central del proyecto y los nombres del equipo.</w:t>
      </w:r>
    </w:p>
    <w:p>
      <w:pPr>
        <w:spacing w:before="120" w:after="20"/>
      </w:pPr>
      <w:r>
        <w:rPr>
          <w:rFonts w:ascii="Consolas" w:hAnsi="Consolas"/>
          <w:b/>
          <w:color w:val="B8862A"/>
          <w:sz w:val="16"/>
        </w:rPr>
        <w:t>¿POR QUÉ ESTÁ ASÍ?</w:t>
      </w:r>
    </w:p>
    <w:p>
      <w:pPr>
        <w:spacing w:before="20" w:after="80"/>
      </w:pPr>
      <w:r>
        <w:rPr>
          <w:rFonts w:ascii="Calibri" w:hAnsi="Calibri"/>
          <w:sz w:val="21"/>
        </w:rPr>
        <w:t>El diseño editorial (fondo oscuro, tipografía grande) comunica desde el primer segundo que esto no es una presentación académica genérica. Es una historia con un punto de vista.</w:t>
      </w:r>
    </w:p>
    <w:p>
      <w:pPr>
        <w:spacing w:before="120" w:after="20"/>
      </w:pPr>
      <w:r>
        <w:rPr>
          <w:rFonts w:ascii="Consolas" w:hAnsi="Consolas"/>
          <w:b/>
          <w:color w:val="B8862A"/>
          <w:sz w:val="16"/>
        </w:rPr>
        <w:t>QUÉ DECIR AQUÍ</w:t>
      </w:r>
    </w:p>
    <w:p>
      <w:pPr>
        <w:spacing w:before="100" w:after="100"/>
        <w:ind w:left="340"/>
        <w:pBdr>
          <w:left w:val="single" w:sz="12" w:space="8" w:color="B8332A"/>
        </w:pBdr>
      </w:pPr>
      <w:r>
        <w:rPr>
          <w:rFonts w:ascii="Calibri" w:hAnsi="Calibri"/>
          <w:i/>
          <w:color w:val="1A1612"/>
          <w:sz w:val="22"/>
        </w:rPr>
        <w:t>"MIT nos lanzó una pregunta. Esta es nuestra respuesta en cuatro actos. Y empezamos por el fracaso."</w:t>
      </w:r>
    </w:p>
    <w:p>
      <w:pPr>
        <w:spacing w:before="20" w:after="80"/>
      </w:pPr>
      <w:r>
        <w:rPr>
          <w:rFonts w:ascii="Calibri" w:hAnsi="Calibri"/>
          <w:sz w:val="21"/>
        </w:rPr>
        <w:t>Solo 40 segundos. No explicar nada todavía. Crear expectativa con la palabra 'fracaso'.</w:t>
      </w:r>
    </w:p>
    <w:p>
      <w:r>
        <w:br w:type="page"/>
      </w:r>
    </w:p>
    <w:p>
      <w:pPr>
        <w:spacing w:before="280" w:after="40"/>
      </w:pPr>
      <w:r>
        <w:rPr>
          <w:rFonts w:ascii="Consolas" w:hAnsi="Consolas"/>
          <w:b/>
          <w:color w:val="B8332A"/>
          <w:sz w:val="18"/>
        </w:rPr>
        <w:t xml:space="preserve">SLIDE 2   </w:t>
      </w:r>
      <w:r>
        <w:rPr>
          <w:rFonts w:ascii="Calibri" w:hAnsi="Calibri"/>
          <w:b/>
          <w:color w:val="1A1612"/>
          <w:sz w:val="28"/>
        </w:rPr>
        <w:t>El Dataset — El punto de partida</w:t>
      </w:r>
    </w:p>
    <w:p>
      <w:pPr>
        <w:spacing w:before="40" w:after="40"/>
        <w:pBdr>
          <w:bottom w:val="single" w:sz="6" w:space="1" w:color="B8332A"/>
        </w:pBdr>
      </w:pPr>
    </w:p>
    <w:p>
      <w:pPr>
        <w:spacing w:before="20" w:after="120"/>
      </w:pPr>
      <w:r>
        <w:rPr>
          <w:rFonts w:ascii="Consolas" w:hAnsi="Consolas"/>
          <w:i/>
          <w:color w:val="7A7368"/>
          <w:sz w:val="17"/>
        </w:rPr>
        <w:t>Habla: Carlos</w:t>
      </w:r>
    </w:p>
    <w:p>
      <w:pPr>
        <w:spacing w:before="120" w:after="20"/>
      </w:pPr>
      <w:r>
        <w:rPr>
          <w:rFonts w:ascii="Consolas" w:hAnsi="Consolas"/>
          <w:b/>
          <w:color w:val="B8862A"/>
          <w:sz w:val="16"/>
        </w:rPr>
        <w:t>¿QUÉ MUESTRA?</w:t>
      </w:r>
    </w:p>
    <w:p>
      <w:pPr>
        <w:spacing w:before="20" w:after="80"/>
      </w:pPr>
      <w:r>
        <w:rPr>
          <w:rFonts w:ascii="Calibri" w:hAnsi="Calibri"/>
          <w:sz w:val="21"/>
        </w:rPr>
        <w:t>Los cuatro datasets del MIT LiftLab con sus tamaños de muestra, más la encuesta propia. Una cita en cursiva que adelanta la narrativa.</w:t>
      </w:r>
    </w:p>
    <w:p>
      <w:pPr>
        <w:spacing w:before="120" w:after="20"/>
      </w:pPr>
      <w:r>
        <w:rPr>
          <w:rFonts w:ascii="Consolas" w:hAnsi="Consolas"/>
          <w:b/>
          <w:color w:val="B8862A"/>
          <w:sz w:val="16"/>
        </w:rPr>
        <w:t>LOS NÚMEROS CLAVE</w:t>
      </w:r>
    </w:p>
    <w:p>
      <w:pPr>
        <w:spacing w:before="40" w:after="40"/>
        <w:ind w:left="283"/>
      </w:pPr>
      <w:r>
        <w:rPr>
          <w:rFonts w:ascii="Calibri" w:hAnsi="Calibri"/>
          <w:b/>
          <w:color w:val="B8332A"/>
          <w:sz w:val="26"/>
        </w:rPr>
        <w:t xml:space="preserve">221  </w:t>
      </w:r>
      <w:r>
        <w:rPr>
          <w:rFonts w:ascii="Calibri" w:hAnsi="Calibri"/>
          <w:color w:val="1A1612"/>
          <w:sz w:val="21"/>
        </w:rPr>
        <w:t>nanostores relevadas</w:t>
      </w:r>
    </w:p>
    <w:p>
      <w:pPr>
        <w:spacing w:before="40" w:after="40"/>
        <w:ind w:left="283"/>
      </w:pPr>
      <w:r>
        <w:rPr>
          <w:rFonts w:ascii="Calibri" w:hAnsi="Calibri"/>
          <w:b/>
          <w:color w:val="B8332A"/>
          <w:sz w:val="26"/>
        </w:rPr>
        <w:t xml:space="preserve">1,135  </w:t>
      </w:r>
      <w:r>
        <w:rPr>
          <w:rFonts w:ascii="Calibri" w:hAnsi="Calibri"/>
          <w:color w:val="1A1612"/>
          <w:sz w:val="21"/>
        </w:rPr>
        <w:t>compradores entrevistados en el momento de compra</w:t>
      </w:r>
    </w:p>
    <w:p>
      <w:pPr>
        <w:spacing w:before="40" w:after="40"/>
        <w:ind w:left="283"/>
      </w:pPr>
      <w:r>
        <w:rPr>
          <w:rFonts w:ascii="Calibri" w:hAnsi="Calibri"/>
          <w:b/>
          <w:color w:val="B8332A"/>
          <w:sz w:val="26"/>
        </w:rPr>
        <w:t xml:space="preserve">236  </w:t>
      </w:r>
      <w:r>
        <w:rPr>
          <w:rFonts w:ascii="Calibri" w:hAnsi="Calibri"/>
          <w:color w:val="1A1612"/>
          <w:sz w:val="21"/>
        </w:rPr>
        <w:t>tenderos</w:t>
      </w:r>
    </w:p>
    <w:p>
      <w:pPr>
        <w:spacing w:before="40" w:after="40"/>
        <w:ind w:left="283"/>
      </w:pPr>
      <w:r>
        <w:rPr>
          <w:rFonts w:ascii="Calibri" w:hAnsi="Calibri"/>
          <w:b/>
          <w:color w:val="B8332A"/>
          <w:sz w:val="26"/>
        </w:rPr>
        <w:t xml:space="preserve">1,448  </w:t>
      </w:r>
      <w:r>
        <w:rPr>
          <w:rFonts w:ascii="Calibri" w:hAnsi="Calibri"/>
          <w:color w:val="1A1612"/>
          <w:sz w:val="21"/>
        </w:rPr>
        <w:t>entregas de última milla (distribución)</w:t>
      </w:r>
    </w:p>
    <w:p>
      <w:pPr>
        <w:spacing w:before="40" w:after="40"/>
        <w:ind w:left="283"/>
      </w:pPr>
      <w:r>
        <w:rPr>
          <w:rFonts w:ascii="Calibri" w:hAnsi="Calibri"/>
          <w:b/>
          <w:color w:val="B8862A"/>
          <w:sz w:val="26"/>
        </w:rPr>
        <w:t xml:space="preserve">104  </w:t>
      </w:r>
      <w:r>
        <w:rPr>
          <w:rFonts w:ascii="Calibri" w:hAnsi="Calibri"/>
          <w:color w:val="1A1612"/>
          <w:sz w:val="21"/>
        </w:rPr>
        <w:t>respuestas de la encuesta propia en San Luis Potosí</w:t>
      </w:r>
    </w:p>
    <w:p>
      <w:pPr>
        <w:spacing w:before="120" w:after="20"/>
      </w:pPr>
      <w:r>
        <w:rPr>
          <w:rFonts w:ascii="Consolas" w:hAnsi="Consolas"/>
          <w:b/>
          <w:color w:val="B8862A"/>
          <w:sz w:val="16"/>
        </w:rPr>
        <w:t>¿POR QUÉ ESTÁ AQUÍ?</w:t>
      </w:r>
    </w:p>
    <w:p>
      <w:pPr>
        <w:spacing w:before="20" w:after="80"/>
      </w:pPr>
      <w:r>
        <w:rPr>
          <w:rFonts w:ascii="Calibri" w:hAnsi="Calibri"/>
          <w:sz w:val="21"/>
        </w:rPr>
        <w:t>Establece la credibilidad del proyecto. 3,040 registros reales de campo no es un dataset de internet — es trabajo de campo de ~13 campus del MIT LiftLab. Antes de mostrar resultados, el jurado necesita saber que la base es sólida.</w:t>
      </w:r>
    </w:p>
    <w:p>
      <w:pPr>
        <w:spacing w:before="120" w:after="20"/>
      </w:pPr>
      <w:r>
        <w:rPr>
          <w:rFonts w:ascii="Consolas" w:hAnsi="Consolas"/>
          <w:b/>
          <w:color w:val="B8862A"/>
          <w:sz w:val="16"/>
        </w:rPr>
        <w:t>LA FRASE DE CIERRE DEL SLIDE</w:t>
      </w:r>
    </w:p>
    <w:p>
      <w:pPr>
        <w:spacing w:before="100" w:after="100"/>
        <w:ind w:left="340"/>
        <w:pBdr>
          <w:left w:val="single" w:sz="12" w:space="8" w:color="B8332A"/>
        </w:pBdr>
      </w:pPr>
      <w:r>
        <w:rPr>
          <w:rFonts w:ascii="Calibri" w:hAnsi="Calibri"/>
          <w:i/>
          <w:color w:val="1A1612"/>
          <w:sz w:val="22"/>
        </w:rPr>
        <w:t>"Esta no es la historia de 'usamos datos y encontramos la respuesta'. Es la historia de cómo los datos nos sorprendieron dos veces."</w:t>
      </w:r>
    </w:p>
    <w:p>
      <w:pPr>
        <w:spacing w:before="20" w:after="80"/>
      </w:pPr>
      <w:r>
        <w:rPr>
          <w:rFonts w:ascii="Calibri" w:hAnsi="Calibri"/>
          <w:sz w:val="21"/>
        </w:rPr>
        <w:t>Esa línea crea tensión narrativa y hace que el jurado quiera escuchar lo que sigue.</w:t>
      </w:r>
    </w:p>
    <w:p>
      <w:r>
        <w:br w:type="page"/>
      </w:r>
    </w:p>
    <w:p>
      <w:pPr>
        <w:spacing w:before="280" w:after="40"/>
      </w:pPr>
      <w:r>
        <w:rPr>
          <w:rFonts w:ascii="Consolas" w:hAnsi="Consolas"/>
          <w:b/>
          <w:color w:val="B8332A"/>
          <w:sz w:val="18"/>
        </w:rPr>
        <w:t xml:space="preserve">SLIDE 3   </w:t>
      </w:r>
      <w:r>
        <w:rPr>
          <w:rFonts w:ascii="Calibri" w:hAnsi="Calibri"/>
          <w:b/>
          <w:color w:val="1A1612"/>
          <w:sz w:val="28"/>
        </w:rPr>
        <w:t>Acto 01 — La Regresión que No Funcionó</w:t>
      </w:r>
    </w:p>
    <w:p>
      <w:pPr>
        <w:spacing w:before="40" w:after="40"/>
        <w:pBdr>
          <w:bottom w:val="single" w:sz="6" w:space="1" w:color="B8332A"/>
        </w:pBdr>
      </w:pPr>
    </w:p>
    <w:p>
      <w:pPr>
        <w:spacing w:before="20" w:after="120"/>
      </w:pPr>
      <w:r>
        <w:rPr>
          <w:rFonts w:ascii="Consolas" w:hAnsi="Consolas"/>
          <w:i/>
          <w:color w:val="7A7368"/>
          <w:sz w:val="17"/>
        </w:rPr>
        <w:t>Habla: Carlos</w:t>
      </w:r>
    </w:p>
    <w:p>
      <w:pPr>
        <w:spacing w:before="120" w:after="20"/>
      </w:pPr>
      <w:r>
        <w:rPr>
          <w:rFonts w:ascii="Consolas" w:hAnsi="Consolas"/>
          <w:b/>
          <w:color w:val="B8862A"/>
          <w:sz w:val="16"/>
        </w:rPr>
        <w:t>¿QUÉ MUESTRA?</w:t>
      </w:r>
    </w:p>
    <w:p>
      <w:pPr>
        <w:spacing w:before="20" w:after="80"/>
      </w:pPr>
      <w:r>
        <w:rPr>
          <w:rFonts w:ascii="Calibri" w:hAnsi="Calibri"/>
          <w:sz w:val="21"/>
        </w:rPr>
        <w:t>Una gráfica de barras con el R² por cada uno de los 5 folds de validación cruzada de un modelo de regresión lineal. Todas las barras están pegadas al piso. A la derecha, dos cajas: una roja con el número R²=0.032, y una negra que explica qué significa ese fracaso.</w:t>
      </w:r>
    </w:p>
    <w:p>
      <w:pPr>
        <w:spacing w:before="120" w:after="20"/>
      </w:pPr>
      <w:r>
        <w:rPr>
          <w:rFonts w:ascii="Consolas" w:hAnsi="Consolas"/>
          <w:b/>
          <w:color w:val="B8862A"/>
          <w:sz w:val="16"/>
        </w:rPr>
        <w:t>¿QUÉ ES LA REGRESIÓN LINEAL, EN PALABRAS SIMPLES?</w:t>
      </w:r>
    </w:p>
    <w:p>
      <w:pPr>
        <w:spacing w:before="20" w:after="80"/>
      </w:pPr>
      <w:r>
        <w:rPr>
          <w:rFonts w:ascii="Calibri" w:hAnsi="Calibri"/>
          <w:sz w:val="21"/>
        </w:rPr>
        <w:t>Es un modelo matemático que intenta predecir un número a partir de otros. Aquí intentamos predecir cuánto gasta un comprador usando su edad, género, presupuesto mensual y frecuencia de visita. Si el modelo fuera perfecto, R²=1.0. Si no sabe absolutamente nada, R²=0.</w:t>
      </w:r>
    </w:p>
    <w:p>
      <w:pPr>
        <w:spacing w:before="120" w:after="20"/>
      </w:pPr>
      <w:r>
        <w:rPr>
          <w:rFonts w:ascii="Consolas" w:hAnsi="Consolas"/>
          <w:b/>
          <w:color w:val="B8862A"/>
          <w:sz w:val="16"/>
        </w:rPr>
        <w:t>¿QUÉ SIGNIFICA R² = 0.032?</w:t>
      </w:r>
    </w:p>
    <w:p>
      <w:pPr>
        <w:spacing w:before="20" w:after="80"/>
      </w:pPr>
      <w:r>
        <w:rPr>
          <w:rFonts w:ascii="Calibri" w:hAnsi="Calibri"/>
          <w:sz w:val="21"/>
        </w:rPr>
        <w:t>El modelo 'entiende' apenas el 3.2% del comportamiento. El otro 96.8% es ruido para él. En términos prácticos: saber quién eres no sirve para predecir cuánto gastas en una tiendita.</w:t>
      </w:r>
    </w:p>
    <w:p>
      <w:pPr>
        <w:spacing w:before="120" w:after="20"/>
      </w:pPr>
      <w:r>
        <w:rPr>
          <w:rFonts w:ascii="Consolas" w:hAnsi="Consolas"/>
          <w:b/>
          <w:color w:val="B8862A"/>
          <w:sz w:val="16"/>
        </w:rPr>
        <w:t>¿POR QUÉ ESTO ES UN HALLAZGO Y NO SOLO UN FRACASO?</w:t>
      </w:r>
    </w:p>
    <w:p>
      <w:pPr>
        <w:spacing w:before="20" w:after="80"/>
      </w:pPr>
      <w:r>
        <w:rPr>
          <w:rFonts w:ascii="Calibri" w:hAnsi="Calibri"/>
          <w:sz w:val="21"/>
        </w:rPr>
        <w:t>Porque nos dice algo: si el comportamiento no se explica por variables individuales (edad, género, presupuesto), entonces el problema no está en las personas. Está en el sistema que las rodea. Ese insight es el motor de todo lo que viene después.</w:t>
      </w:r>
    </w:p>
    <w:p>
      <w:pPr>
        <w:spacing w:before="120" w:after="20"/>
      </w:pPr>
      <w:r>
        <w:rPr>
          <w:rFonts w:ascii="Consolas" w:hAnsi="Consolas"/>
          <w:b/>
          <w:color w:val="B8862A"/>
          <w:sz w:val="16"/>
        </w:rPr>
        <w:t>¿POR QUÉ INCLUIR EL MODELO QUE FALLÓ?</w:t>
      </w:r>
    </w:p>
    <w:p>
      <w:pPr>
        <w:spacing w:before="20" w:after="80"/>
      </w:pPr>
      <w:r>
        <w:rPr>
          <w:rFonts w:ascii="Calibri" w:hAnsi="Calibri"/>
          <w:sz w:val="21"/>
        </w:rPr>
        <w:t>Honestidad intelectual. Mostrar que el primer intento no funcionó hace que el jurado confíe en que los resultados siguientes no fueron seleccionados a conveniencia. Un proyecto que solo muestra victorias genera desconfianza.</w:t>
      </w:r>
    </w:p>
    <w:p>
      <w:pPr>
        <w:spacing w:before="120" w:after="20"/>
      </w:pPr>
      <w:r>
        <w:rPr>
          <w:rFonts w:ascii="Consolas" w:hAnsi="Consolas"/>
          <w:b/>
          <w:color w:val="B8862A"/>
          <w:sz w:val="16"/>
        </w:rPr>
        <w:t>FRASE CLAVE A MEMORIZAR</w:t>
      </w:r>
    </w:p>
    <w:p>
      <w:pPr>
        <w:spacing w:before="100" w:after="100"/>
        <w:ind w:left="340"/>
        <w:pBdr>
          <w:left w:val="single" w:sz="12" w:space="8" w:color="B8332A"/>
        </w:pBdr>
      </w:pPr>
      <w:r>
        <w:rPr>
          <w:rFonts w:ascii="Calibri" w:hAnsi="Calibri"/>
          <w:i/>
          <w:color w:val="1A1612"/>
          <w:sz w:val="22"/>
        </w:rPr>
        <w:t>"R² de 0.032 no es un error — es el primer hallazgo real."</w:t>
      </w:r>
    </w:p>
    <w:p>
      <w:r>
        <w:br w:type="page"/>
      </w:r>
    </w:p>
    <w:p>
      <w:pPr>
        <w:spacing w:before="280" w:after="40"/>
      </w:pPr>
      <w:r>
        <w:rPr>
          <w:rFonts w:ascii="Consolas" w:hAnsi="Consolas"/>
          <w:b/>
          <w:color w:val="B8332A"/>
          <w:sz w:val="18"/>
        </w:rPr>
        <w:t xml:space="preserve">SLIDE 4   </w:t>
      </w:r>
      <w:r>
        <w:rPr>
          <w:rFonts w:ascii="Calibri" w:hAnsi="Calibri"/>
          <w:b/>
          <w:color w:val="1A1612"/>
          <w:sz w:val="28"/>
        </w:rPr>
        <w:t>Acto 02 — Los Cuatro Números que Detienen</w:t>
      </w:r>
    </w:p>
    <w:p>
      <w:pPr>
        <w:spacing w:before="40" w:after="40"/>
        <w:pBdr>
          <w:bottom w:val="single" w:sz="6" w:space="1" w:color="B8332A"/>
        </w:pBdr>
      </w:pPr>
    </w:p>
    <w:p>
      <w:pPr>
        <w:spacing w:before="20" w:after="120"/>
      </w:pPr>
      <w:r>
        <w:rPr>
          <w:rFonts w:ascii="Consolas" w:hAnsi="Consolas"/>
          <w:i/>
          <w:color w:val="7A7368"/>
          <w:sz w:val="17"/>
        </w:rPr>
        <w:t>Habla: Carlos</w:t>
      </w:r>
    </w:p>
    <w:p>
      <w:pPr>
        <w:spacing w:before="120" w:after="20"/>
      </w:pPr>
      <w:r>
        <w:rPr>
          <w:rFonts w:ascii="Consolas" w:hAnsi="Consolas"/>
          <w:b/>
          <w:color w:val="B8862A"/>
          <w:sz w:val="16"/>
        </w:rPr>
        <w:t>¿QUÉ MUESTRA?</w:t>
      </w:r>
    </w:p>
    <w:p>
      <w:pPr>
        <w:spacing w:before="20" w:after="80"/>
      </w:pPr>
      <w:r>
        <w:rPr>
          <w:rFonts w:ascii="Calibri" w:hAnsi="Calibri"/>
          <w:sz w:val="21"/>
        </w:rPr>
        <w:t>Cuatro cajas con estadísticas grandes (el 'stat strip' del proyecto), seguidas de dos gráficas: la canasta real de productos comprados y la paradoja intención-acción.</w:t>
      </w:r>
    </w:p>
    <w:p>
      <w:pPr>
        <w:spacing w:before="120" w:after="20"/>
      </w:pPr>
      <w:r>
        <w:rPr>
          <w:rFonts w:ascii="Consolas" w:hAnsi="Consolas"/>
          <w:b/>
          <w:color w:val="B8862A"/>
          <w:sz w:val="16"/>
        </w:rPr>
        <w:t>LOS CUATRO NÚMEROS Y QUÉ SIGNIFICAN</w:t>
      </w:r>
    </w:p>
    <w:p>
      <w:pPr>
        <w:spacing w:before="40" w:after="40"/>
        <w:ind w:left="283"/>
      </w:pPr>
      <w:r>
        <w:rPr>
          <w:rFonts w:ascii="Calibri" w:hAnsi="Calibri"/>
          <w:b/>
          <w:color w:val="B8332A"/>
          <w:sz w:val="26"/>
        </w:rPr>
        <w:t xml:space="preserve">60.8%  </w:t>
      </w:r>
      <w:r>
        <w:rPr>
          <w:rFonts w:ascii="Calibri" w:hAnsi="Calibri"/>
          <w:color w:val="1A1612"/>
          <w:sz w:val="21"/>
        </w:rPr>
        <w:t>de los compradores lleva al menos 1 producto no saludable (refresco, papitas, etc.)</w:t>
      </w:r>
    </w:p>
    <w:p>
      <w:pPr>
        <w:spacing w:before="40" w:after="40"/>
        <w:ind w:left="283"/>
      </w:pPr>
      <w:r>
        <w:rPr>
          <w:rFonts w:ascii="Calibri" w:hAnsi="Calibri"/>
          <w:b/>
          <w:color w:val="B8332A"/>
          <w:sz w:val="26"/>
        </w:rPr>
        <w:t xml:space="preserve">50.3%  </w:t>
      </w:r>
      <w:r>
        <w:rPr>
          <w:rFonts w:ascii="Calibri" w:hAnsi="Calibri"/>
          <w:color w:val="1A1612"/>
          <w:sz w:val="21"/>
        </w:rPr>
        <w:t>lleva SOLO productos no saludables — nada sano en absoluto</w:t>
      </w:r>
    </w:p>
    <w:p>
      <w:pPr>
        <w:spacing w:before="40" w:after="40"/>
        <w:ind w:left="283"/>
      </w:pPr>
      <w:r>
        <w:rPr>
          <w:rFonts w:ascii="Calibri" w:hAnsi="Calibri"/>
          <w:b/>
          <w:color w:val="2D5E3E"/>
          <w:sz w:val="26"/>
        </w:rPr>
        <w:t xml:space="preserve">23.7%  </w:t>
      </w:r>
      <w:r>
        <w:rPr>
          <w:rFonts w:ascii="Calibri" w:hAnsi="Calibri"/>
          <w:color w:val="1A1612"/>
          <w:sz w:val="21"/>
        </w:rPr>
        <w:t>lleva algo saludable (fruta, agua embotellada)</w:t>
      </w:r>
    </w:p>
    <w:p>
      <w:pPr>
        <w:spacing w:before="40" w:after="40"/>
        <w:ind w:left="283"/>
      </w:pPr>
      <w:r>
        <w:rPr>
          <w:rFonts w:ascii="Calibri" w:hAnsi="Calibri"/>
          <w:b/>
          <w:color w:val="7A7368"/>
          <w:sz w:val="26"/>
        </w:rPr>
        <w:t xml:space="preserve">66%  </w:t>
      </w:r>
      <w:r>
        <w:rPr>
          <w:rFonts w:ascii="Calibri" w:hAnsi="Calibri"/>
          <w:color w:val="1A1612"/>
          <w:sz w:val="21"/>
        </w:rPr>
        <w:t>de las entregas de última milla no ofrecieron ningún producto sano a la tienda</w:t>
      </w:r>
    </w:p>
    <w:p>
      <w:pPr>
        <w:spacing w:before="120" w:after="20"/>
      </w:pPr>
      <w:r>
        <w:rPr>
          <w:rFonts w:ascii="Consolas" w:hAnsi="Consolas"/>
          <w:b/>
          <w:color w:val="B8862A"/>
          <w:sz w:val="16"/>
        </w:rPr>
        <w:t>¿CÓMO VISUALIZAR LOS NÚMEROS PARA EL PÚBLICO?</w:t>
      </w:r>
    </w:p>
    <w:p>
      <w:pPr>
        <w:spacing w:before="20" w:after="80"/>
      </w:pPr>
      <w:r>
        <w:rPr>
          <w:rFonts w:ascii="Calibri" w:hAnsi="Calibri"/>
          <w:sz w:val="21"/>
        </w:rPr>
        <w:t>Imagina 10 personas entrando y saliendo de una tiendita. 5 de ellas salen solo con papitas y refrescos. Solo 2 salen con algo sano. Y de cada 3 camiones que llegan a surtir la tienda, 2 ni siquiera traen opciones saludables para ofrecer.</w:t>
      </w:r>
    </w:p>
    <w:p>
      <w:pPr>
        <w:spacing w:before="120" w:after="20"/>
      </w:pPr>
      <w:r>
        <w:rPr>
          <w:rFonts w:ascii="Consolas" w:hAnsi="Consolas"/>
          <w:b/>
          <w:color w:val="B8862A"/>
          <w:sz w:val="16"/>
        </w:rPr>
        <w:t>LA GRÁFICA DE LA IZQUIERDA (CANASTA REAL)</w:t>
      </w:r>
    </w:p>
    <w:p>
      <w:pPr>
        <w:spacing w:before="20" w:after="80"/>
      </w:pPr>
      <w:r>
        <w:rPr>
          <w:rFonts w:ascii="Calibri" w:hAnsi="Calibri"/>
          <w:sz w:val="21"/>
        </w:rPr>
        <w:t>Barras horizontales mostrando cuántas veces fue mencionado cada tipo de producto entre las compras. Las barras rojas (no saludable) dominan por mucho sobre las verdes (saludable). Muestra empíricamente que las tienditas son principalmente puntos de venta de productos ultraprocesados.</w:t>
      </w:r>
    </w:p>
    <w:p>
      <w:pPr>
        <w:spacing w:before="120" w:after="20"/>
      </w:pPr>
      <w:r>
        <w:rPr>
          <w:rFonts w:ascii="Consolas" w:hAnsi="Consolas"/>
          <w:b/>
          <w:color w:val="B8862A"/>
          <w:sz w:val="16"/>
        </w:rPr>
        <w:t>LA GRÁFICA DE LA DERECHA (PARADOJA INTENCIÓN-ACCIÓN)</w:t>
      </w:r>
    </w:p>
    <w:p>
      <w:pPr>
        <w:spacing w:before="20" w:after="80"/>
      </w:pPr>
      <w:r>
        <w:rPr>
          <w:rFonts w:ascii="Calibri" w:hAnsi="Calibri"/>
          <w:sz w:val="21"/>
        </w:rPr>
        <w:t>Barras verticales mostrando 5 actitudes/comportamientos. Las primeras 4 (sabe, querría, quiere opciones, lo ve caro) son altas. La última (realmente compró algo sano) se cae al 23.7%. La brecha visual entre las barras altas y la última es el corazón del proyecto.</w:t>
      </w:r>
    </w:p>
    <w:p>
      <w:r>
        <w:br w:type="page"/>
      </w:r>
    </w:p>
    <w:p>
      <w:pPr>
        <w:spacing w:before="280" w:after="40"/>
      </w:pPr>
      <w:r>
        <w:rPr>
          <w:rFonts w:ascii="Consolas" w:hAnsi="Consolas"/>
          <w:b/>
          <w:color w:val="B8332A"/>
          <w:sz w:val="18"/>
        </w:rPr>
        <w:t xml:space="preserve">SLIDE 5   </w:t>
      </w:r>
      <w:r>
        <w:rPr>
          <w:rFonts w:ascii="Calibri" w:hAnsi="Calibri"/>
          <w:b/>
          <w:color w:val="1A1612"/>
          <w:sz w:val="28"/>
        </w:rPr>
        <w:t>Acto 02 — El Corazón del Hallazgo</w:t>
      </w:r>
    </w:p>
    <w:p>
      <w:pPr>
        <w:spacing w:before="40" w:after="40"/>
        <w:pBdr>
          <w:bottom w:val="single" w:sz="6" w:space="1" w:color="B8332A"/>
        </w:pBdr>
      </w:pPr>
    </w:p>
    <w:p>
      <w:pPr>
        <w:spacing w:before="20" w:after="120"/>
      </w:pPr>
      <w:r>
        <w:rPr>
          <w:rFonts w:ascii="Consolas" w:hAnsi="Consolas"/>
          <w:i/>
          <w:color w:val="7A7368"/>
          <w:sz w:val="17"/>
        </w:rPr>
        <w:t>Habla: Carlos</w:t>
      </w:r>
    </w:p>
    <w:p>
      <w:pPr>
        <w:spacing w:before="120" w:after="20"/>
      </w:pPr>
      <w:r>
        <w:rPr>
          <w:rFonts w:ascii="Consolas" w:hAnsi="Consolas"/>
          <w:b/>
          <w:color w:val="B8862A"/>
          <w:sz w:val="16"/>
        </w:rPr>
        <w:t>¿QUÉ MUESTRA?</w:t>
      </w:r>
    </w:p>
    <w:p>
      <w:pPr>
        <w:spacing w:before="20" w:after="80"/>
      </w:pPr>
      <w:r>
        <w:rPr>
          <w:rFonts w:ascii="Calibri" w:hAnsi="Calibri"/>
          <w:sz w:val="21"/>
        </w:rPr>
        <w:t>Una caja negra grande que ocupa el centro del slide ('callout oscuro') con el hallazgo más importante. Debajo, dos paneles laterales: uno sobre el Random Forest y otro sobre la última milla.</w:t>
      </w:r>
    </w:p>
    <w:p>
      <w:pPr>
        <w:spacing w:before="120" w:after="20"/>
      </w:pPr>
      <w:r>
        <w:rPr>
          <w:rFonts w:ascii="Consolas" w:hAnsi="Consolas"/>
          <w:b/>
          <w:color w:val="B8862A"/>
          <w:sz w:val="16"/>
        </w:rPr>
        <w:t>¿QUÉ DICE LA CAJA NEGRA?</w:t>
      </w:r>
    </w:p>
    <w:p>
      <w:pPr>
        <w:spacing w:before="20" w:after="80"/>
      </w:pPr>
      <w:r>
        <w:rPr>
          <w:rFonts w:ascii="Calibri" w:hAnsi="Calibri"/>
          <w:sz w:val="21"/>
        </w:rPr>
        <w:t>Que el 85% sabe que lo que compra le hace daño, el 63% compraría más sano, el 65% quiere más opciones — pero solo el 24% realmente compra algo sano. La brecha es de 39.1 puntos porcentuales.</w:t>
      </w:r>
    </w:p>
    <w:p>
      <w:pPr>
        <w:spacing w:before="120" w:after="20"/>
      </w:pPr>
      <w:r>
        <w:rPr>
          <w:rFonts w:ascii="Consolas" w:hAnsi="Consolas"/>
          <w:b/>
          <w:color w:val="B8862A"/>
          <w:sz w:val="16"/>
        </w:rPr>
        <w:t>¿QUÉ ES EL RANDOM FOREST Y POR QUÉ IMPORTA SU RESULTADO?</w:t>
      </w:r>
    </w:p>
    <w:p>
      <w:pPr>
        <w:spacing w:before="20" w:after="80"/>
        <w:ind w:left="283"/>
      </w:pPr>
      <w:r>
        <w:rPr>
          <w:rFonts w:ascii="Calibri" w:hAnsi="Calibri"/>
          <w:sz w:val="21"/>
        </w:rPr>
        <w:t>Un Random Forest es un algoritmo de inteligencia artificial que usa cientos de 'árboles de decisión' para clasificar o predecir. Es considerablemente más potente que una regresión lineal. Aquí lo usamos para intentar predecir quién compra saludable a partir de características personales.</w:t>
      </w:r>
    </w:p>
    <w:p>
      <w:pPr>
        <w:spacing w:before="20" w:after="80"/>
        <w:ind w:left="283"/>
      </w:pPr>
      <w:r>
        <w:rPr>
          <w:rFonts w:ascii="Calibri" w:hAnsi="Calibri"/>
          <w:sz w:val="21"/>
        </w:rPr>
        <w:t>AUC = 0.55 significa que el modelo acierta el 55% de las veces. Un modelo completamente inútil que adivina al azar daría AUC = 0.50. La diferencia es solo 5 puntos. En términos prácticos: el modelo de IA tampoco puede predecir quién compra sano.</w:t>
      </w:r>
    </w:p>
    <w:p>
      <w:pPr>
        <w:spacing w:before="20" w:after="80"/>
        <w:ind w:left="283"/>
      </w:pPr>
      <w:r>
        <w:rPr>
          <w:rFonts w:ascii="Calibri" w:hAnsi="Calibri"/>
          <w:sz w:val="21"/>
        </w:rPr>
        <w:t>Eso confirma lo del Acto 1: no es una cuestión de quién eres. La barrera no está en rasgos individuales.</w:t>
      </w:r>
    </w:p>
    <w:p>
      <w:pPr>
        <w:spacing w:before="120" w:after="20"/>
      </w:pPr>
      <w:r>
        <w:rPr>
          <w:rFonts w:ascii="Consolas" w:hAnsi="Consolas"/>
          <w:b/>
          <w:color w:val="B8862A"/>
          <w:sz w:val="16"/>
        </w:rPr>
        <w:t>¿POR QUÉ EL DISEÑO ES UNA CAJA NEGRA GRANDE?</w:t>
      </w:r>
    </w:p>
    <w:p>
      <w:pPr>
        <w:spacing w:before="20" w:after="80"/>
      </w:pPr>
      <w:r>
        <w:rPr>
          <w:rFonts w:ascii="Calibri" w:hAnsi="Calibri"/>
          <w:sz w:val="21"/>
        </w:rPr>
        <w:t>Porque es el hallazgo más importante de todo el proyecto. El diseño editorial lo comunica visualmente: esto no es un bullet point más, es la conclusión central. Cuando el jurado la vea, ya sabe que ahí está la respuesta real.</w:t>
      </w:r>
    </w:p>
    <w:p>
      <w:pPr>
        <w:spacing w:before="120" w:after="20"/>
      </w:pPr>
      <w:r>
        <w:rPr>
          <w:rFonts w:ascii="Consolas" w:hAnsi="Consolas"/>
          <w:b/>
          <w:color w:val="B8862A"/>
          <w:sz w:val="16"/>
        </w:rPr>
        <w:t>CONCLUSIÓN DEL SLIDE EN UNA FRASE</w:t>
      </w:r>
    </w:p>
    <w:p>
      <w:pPr>
        <w:spacing w:before="100" w:after="100"/>
        <w:ind w:left="340"/>
        <w:pBdr>
          <w:left w:val="single" w:sz="12" w:space="8" w:color="B8332A"/>
        </w:pBdr>
      </w:pPr>
      <w:r>
        <w:rPr>
          <w:rFonts w:ascii="Calibri" w:hAnsi="Calibri"/>
          <w:i/>
          <w:color w:val="1A1612"/>
          <w:sz w:val="22"/>
        </w:rPr>
        <w:t>"El problema no está en las personas — está en las condiciones que las rodean."</w:t>
      </w:r>
    </w:p>
    <w:p>
      <w:r>
        <w:br w:type="page"/>
      </w:r>
    </w:p>
    <w:p>
      <w:pPr>
        <w:spacing w:before="280" w:after="40"/>
      </w:pPr>
      <w:r>
        <w:rPr>
          <w:rFonts w:ascii="Consolas" w:hAnsi="Consolas"/>
          <w:b/>
          <w:color w:val="B8332A"/>
          <w:sz w:val="18"/>
        </w:rPr>
        <w:t xml:space="preserve">SLIDE 6   </w:t>
      </w:r>
      <w:r>
        <w:rPr>
          <w:rFonts w:ascii="Calibri" w:hAnsi="Calibri"/>
          <w:b/>
          <w:color w:val="1A1612"/>
          <w:sz w:val="28"/>
        </w:rPr>
        <w:t>Acto 03 — Nuestra Propia Encuesta</w:t>
      </w:r>
    </w:p>
    <w:p>
      <w:pPr>
        <w:spacing w:before="40" w:after="40"/>
        <w:pBdr>
          <w:bottom w:val="single" w:sz="6" w:space="1" w:color="B8332A"/>
        </w:pBdr>
      </w:pPr>
    </w:p>
    <w:p>
      <w:pPr>
        <w:spacing w:before="20" w:after="120"/>
      </w:pPr>
      <w:r>
        <w:rPr>
          <w:rFonts w:ascii="Consolas" w:hAnsi="Consolas"/>
          <w:i/>
          <w:color w:val="7A7368"/>
          <w:sz w:val="17"/>
        </w:rPr>
        <w:t>Habla: Alexis</w:t>
      </w:r>
    </w:p>
    <w:p>
      <w:pPr>
        <w:spacing w:before="120" w:after="20"/>
      </w:pPr>
      <w:r>
        <w:rPr>
          <w:rFonts w:ascii="Consolas" w:hAnsi="Consolas"/>
          <w:b/>
          <w:color w:val="B8862A"/>
          <w:sz w:val="16"/>
        </w:rPr>
        <w:t>¿QUÉ MUESTRA?</w:t>
      </w:r>
    </w:p>
    <w:p>
      <w:pPr>
        <w:spacing w:before="20" w:after="80"/>
      </w:pPr>
      <w:r>
        <w:rPr>
          <w:rFonts w:ascii="Calibri" w:hAnsi="Calibri"/>
          <w:sz w:val="21"/>
        </w:rPr>
        <w:t>Una cita pull (texto grande en cursiva con borde rojo) con el dato más fuerte de la encuesta, seguida de cuatro puntos clave a la izquierda y una gráfica de soluciones pedidas a la derecha. Una barra dorada en la parte inferior muestra la convergencia entre datasets.</w:t>
      </w:r>
    </w:p>
    <w:p>
      <w:pPr>
        <w:spacing w:before="120" w:after="20"/>
      </w:pPr>
      <w:r>
        <w:rPr>
          <w:rFonts w:ascii="Consolas" w:hAnsi="Consolas"/>
          <w:b/>
          <w:color w:val="B8862A"/>
          <w:sz w:val="16"/>
        </w:rPr>
        <w:t>¿POR QUÉ EXISTE ESTE SLIDE? ¿NO BASTABA CON EL DATASET DEL MIT?</w:t>
      </w:r>
    </w:p>
    <w:p>
      <w:pPr>
        <w:spacing w:before="20" w:after="80"/>
      </w:pPr>
      <w:r>
        <w:rPr>
          <w:rFonts w:ascii="Calibri" w:hAnsi="Calibri"/>
          <w:sz w:val="21"/>
        </w:rPr>
        <w:t>Un solo dataset puede tener sesgos propios del instrumento o de la muestra. Levantamos una encuesta independiente en SLP para ver si los resultados del MIT se confirmaban con otra fuente. Si las dos fuentes dicen lo mismo sin haberse coordinado, la conclusión es mucho más sólida.</w:t>
      </w:r>
    </w:p>
    <w:p>
      <w:pPr>
        <w:spacing w:before="120" w:after="20"/>
      </w:pPr>
      <w:r>
        <w:rPr>
          <w:rFonts w:ascii="Consolas" w:hAnsi="Consolas"/>
          <w:b/>
          <w:color w:val="B8862A"/>
          <w:sz w:val="16"/>
        </w:rPr>
        <w:t>¿QUÉ ENCONTRÓ LA ENCUESTA PROPIA?</w:t>
      </w:r>
    </w:p>
    <w:p>
      <w:pPr>
        <w:pStyle w:val="ListBullet"/>
        <w:spacing w:before="20" w:after="40"/>
        <w:ind w:left="454"/>
      </w:pPr>
      <w:r>
        <w:rPr>
          <w:rFonts w:ascii="Calibri" w:hAnsi="Calibri"/>
          <w:sz w:val="21"/>
        </w:rPr>
        <w:t>La causa raíz más citada para no cocinar: falta de tiempo por el trabajo</w:t>
      </w:r>
    </w:p>
    <w:p>
      <w:pPr>
        <w:pStyle w:val="ListBullet"/>
        <w:spacing w:before="20" w:after="40"/>
        <w:ind w:left="454"/>
      </w:pPr>
      <w:r>
        <w:rPr>
          <w:rFonts w:ascii="Calibri" w:hAnsi="Calibri"/>
          <w:sz w:val="21"/>
        </w:rPr>
        <w:t>Soluciones más pedidas: acceso a alimentos sanos y económicos, menos horas de trabajo, y educación nutricional</w:t>
      </w:r>
    </w:p>
    <w:p>
      <w:pPr>
        <w:pStyle w:val="ListBullet"/>
        <w:spacing w:before="20" w:after="40"/>
        <w:ind w:left="454"/>
      </w:pPr>
      <w:r>
        <w:rPr>
          <w:rFonts w:ascii="Calibri" w:hAnsi="Calibri"/>
          <w:sz w:val="21"/>
        </w:rPr>
        <w:t>80 de 94 encuestados cambiarían sus hábitos con más tiempo o recursos</w:t>
      </w:r>
    </w:p>
    <w:p>
      <w:pPr>
        <w:pStyle w:val="ListBullet"/>
        <w:spacing w:before="20" w:after="40"/>
        <w:ind w:left="454"/>
      </w:pPr>
      <w:r>
        <w:rPr>
          <w:rFonts w:ascii="Calibri" w:hAnsi="Calibri"/>
          <w:sz w:val="21"/>
        </w:rPr>
        <w:t>Los padres están muy preocupados por la dieta de sus hijos</w:t>
      </w:r>
    </w:p>
    <w:p>
      <w:pPr>
        <w:spacing w:before="120" w:after="20"/>
      </w:pPr>
      <w:r>
        <w:rPr>
          <w:rFonts w:ascii="Consolas" w:hAnsi="Consolas"/>
          <w:b/>
          <w:color w:val="B8862A"/>
          <w:sz w:val="16"/>
        </w:rPr>
        <w:t>¿QUÉ SIGNIFICA LA GRÁFICA DE LA DERECHA?</w:t>
      </w:r>
    </w:p>
    <w:p>
      <w:pPr>
        <w:spacing w:before="20" w:after="80"/>
      </w:pPr>
      <w:r>
        <w:rPr>
          <w:rFonts w:ascii="Calibri" w:hAnsi="Calibri"/>
          <w:sz w:val="21"/>
        </w:rPr>
        <w:t>Barras horizontales con las soluciones más pedidas por los propios encuestados. La tercera barra (educación nutricional) está marcada en rojo con una flecha que dice '← Nuestra intervención'. Es el momento en que los datos piden exactamente lo que el equipo va a proponer.</w:t>
      </w:r>
    </w:p>
    <w:p>
      <w:pPr>
        <w:spacing w:before="120" w:after="20"/>
      </w:pPr>
      <w:r>
        <w:rPr>
          <w:rFonts w:ascii="Consolas" w:hAnsi="Consolas"/>
          <w:b/>
          <w:color w:val="B8862A"/>
          <w:sz w:val="16"/>
        </w:rPr>
        <w:t>LA FRASE MÁS IMPORTANTE DE ESTE SLIDE</w:t>
      </w:r>
    </w:p>
    <w:p>
      <w:pPr>
        <w:spacing w:before="100" w:after="100"/>
        <w:ind w:left="340"/>
        <w:pBdr>
          <w:left w:val="single" w:sz="12" w:space="8" w:color="B8332A"/>
        </w:pBdr>
      </w:pPr>
      <w:r>
        <w:rPr>
          <w:rFonts w:ascii="Calibri" w:hAnsi="Calibri"/>
          <w:i/>
          <w:color w:val="1A1612"/>
          <w:sz w:val="22"/>
        </w:rPr>
        <w:t>"Los propios encuestados nombraron la intervención que íbamos a diseñar."</w:t>
      </w:r>
    </w:p>
    <w:p>
      <w:r>
        <w:br w:type="page"/>
      </w:r>
    </w:p>
    <w:p>
      <w:pPr>
        <w:spacing w:before="280" w:after="40"/>
      </w:pPr>
      <w:r>
        <w:rPr>
          <w:rFonts w:ascii="Consolas" w:hAnsi="Consolas"/>
          <w:b/>
          <w:color w:val="B8332A"/>
          <w:sz w:val="18"/>
        </w:rPr>
        <w:t xml:space="preserve">SLIDE 7   </w:t>
      </w:r>
      <w:r>
        <w:rPr>
          <w:rFonts w:ascii="Calibri" w:hAnsi="Calibri"/>
          <w:b/>
          <w:color w:val="1A1612"/>
          <w:sz w:val="28"/>
        </w:rPr>
        <w:t>El Puente Lógico — De Adultos a Adolescentes</w:t>
      </w:r>
    </w:p>
    <w:p>
      <w:pPr>
        <w:spacing w:before="40" w:after="40"/>
        <w:pBdr>
          <w:bottom w:val="single" w:sz="6" w:space="1" w:color="B8332A"/>
        </w:pBdr>
      </w:pPr>
    </w:p>
    <w:p>
      <w:pPr>
        <w:spacing w:before="20" w:after="120"/>
      </w:pPr>
      <w:r>
        <w:rPr>
          <w:rFonts w:ascii="Consolas" w:hAnsi="Consolas"/>
          <w:i/>
          <w:color w:val="7A7368"/>
          <w:sz w:val="17"/>
        </w:rPr>
        <w:t>Habla: Fernanda</w:t>
      </w:r>
    </w:p>
    <w:p>
      <w:pPr>
        <w:spacing w:before="120" w:after="20"/>
      </w:pPr>
      <w:r>
        <w:rPr>
          <w:rFonts w:ascii="Consolas" w:hAnsi="Consolas"/>
          <w:b/>
          <w:color w:val="B8862A"/>
          <w:sz w:val="16"/>
        </w:rPr>
        <w:t>¿QUÉ MUESTRA?</w:t>
      </w:r>
    </w:p>
    <w:p>
      <w:pPr>
        <w:spacing w:before="20" w:after="80"/>
      </w:pPr>
      <w:r>
        <w:rPr>
          <w:rFonts w:ascii="Calibri" w:hAnsi="Calibri"/>
          <w:sz w:val="21"/>
        </w:rPr>
        <w:t>Un diagrama de tres cajas con flechas (el 'problema → situación → solución'), seguido de un panel con tres razones por las que la intervención apunta a secundaria, y una frase de cierre en rojo.</w:t>
      </w:r>
    </w:p>
    <w:p>
      <w:pPr>
        <w:spacing w:before="120" w:after="20"/>
      </w:pPr>
      <w:r>
        <w:rPr>
          <w:rFonts w:ascii="Consolas" w:hAnsi="Consolas"/>
          <w:b/>
          <w:color w:val="B8862A"/>
          <w:sz w:val="16"/>
        </w:rPr>
        <w:t>¿CUÁL ES EL 'PUENTE' QUE JUSTIFICA EL TÍTULO DEL SLIDE?</w:t>
      </w:r>
    </w:p>
    <w:p>
      <w:pPr>
        <w:spacing w:before="20" w:after="80"/>
      </w:pPr>
      <w:r>
        <w:rPr>
          <w:rFonts w:ascii="Calibri" w:hAnsi="Calibri"/>
          <w:sz w:val="21"/>
        </w:rPr>
        <w:t>Los datos del MIT son de compradores adultos. Pero la intervención propuesta es para adolescentes de 12–15 años. Hay un salto generacional que necesita ser explicado honestamente, o el jurado lo señalará como inconsistencia.</w:t>
      </w:r>
    </w:p>
    <w:p>
      <w:pPr>
        <w:spacing w:before="120" w:after="20"/>
      </w:pPr>
      <w:r>
        <w:rPr>
          <w:rFonts w:ascii="Consolas" w:hAnsi="Consolas"/>
          <w:b/>
          <w:color w:val="B8862A"/>
          <w:sz w:val="16"/>
        </w:rPr>
        <w:t>¿QUÉ DICE CADA CAJA DEL DIAGRAMA?</w:t>
      </w:r>
    </w:p>
    <w:p>
      <w:pPr>
        <w:pStyle w:val="ListBullet"/>
        <w:spacing w:before="20" w:after="40"/>
        <w:ind w:left="454"/>
      </w:pPr>
      <w:r>
        <w:rPr>
          <w:rFonts w:ascii="Calibri" w:hAnsi="Calibri"/>
          <w:sz w:val="21"/>
        </w:rPr>
        <w:t>Caja 1 (roja): El ecosistema actual empuja lo no saludable</w:t>
      </w:r>
    </w:p>
    <w:p>
      <w:pPr>
        <w:pStyle w:val="ListBullet"/>
        <w:spacing w:before="20" w:after="40"/>
        <w:ind w:left="454"/>
      </w:pPr>
      <w:r>
        <w:rPr>
          <w:rFonts w:ascii="Calibri" w:hAnsi="Calibri"/>
          <w:sz w:val="21"/>
        </w:rPr>
        <w:t>Caja 2 (oscura/dorada): La gente sabe y quiere — pero no logra cerrar la brecha</w:t>
      </w:r>
    </w:p>
    <w:p>
      <w:pPr>
        <w:pStyle w:val="ListBullet"/>
        <w:spacing w:before="20" w:after="40"/>
        <w:ind w:left="454"/>
      </w:pPr>
      <w:r>
        <w:rPr>
          <w:rFonts w:ascii="Calibri" w:hAnsi="Calibri"/>
          <w:sz w:val="21"/>
        </w:rPr>
        <w:t>Caja 3 (verde): La palanca: formar a los compradores del futuro</w:t>
      </w:r>
    </w:p>
    <w:p>
      <w:pPr>
        <w:spacing w:before="120" w:after="20"/>
      </w:pPr>
      <w:r>
        <w:rPr>
          <w:rFonts w:ascii="Consolas" w:hAnsi="Consolas"/>
          <w:b/>
          <w:color w:val="B8862A"/>
          <w:sz w:val="16"/>
        </w:rPr>
        <w:t>LAS TRES RAZONES PARA APUNTAR A SECUNDARIA</w:t>
      </w:r>
    </w:p>
    <w:p>
      <w:pPr>
        <w:pStyle w:val="ListBullet"/>
        <w:spacing w:before="20" w:after="40"/>
        <w:ind w:left="454"/>
      </w:pPr>
      <w:r>
        <w:rPr>
          <w:rFonts w:ascii="Calibri" w:hAnsi="Calibri"/>
          <w:sz w:val="21"/>
        </w:rPr>
        <w:t>40.1% de adolescentes con obesidad vs 36.6% en niños menores (ENSANUT 2020–2024) — la prevalencia es mayor en ese grupo de edad</w:t>
      </w:r>
    </w:p>
    <w:p>
      <w:pPr>
        <w:pStyle w:val="ListBullet"/>
        <w:spacing w:before="20" w:after="40"/>
        <w:ind w:left="454"/>
      </w:pPr>
      <w:r>
        <w:rPr>
          <w:rFonts w:ascii="Calibri" w:hAnsi="Calibri"/>
          <w:sz w:val="21"/>
        </w:rPr>
        <w:t>Ya manejan dinero propio y visitan tienditas solos: ya son compradores activos</w:t>
      </w:r>
    </w:p>
    <w:p>
      <w:pPr>
        <w:pStyle w:val="ListBullet"/>
        <w:spacing w:before="20" w:after="40"/>
        <w:ind w:left="454"/>
      </w:pPr>
      <w:r>
        <w:rPr>
          <w:rFonts w:ascii="Calibri" w:hAnsi="Calibri"/>
          <w:sz w:val="21"/>
        </w:rPr>
        <w:t>Los hábitos que se forman entre los 12 y 15 años se consolidan para la adultez</w:t>
      </w:r>
    </w:p>
    <w:p>
      <w:pPr>
        <w:spacing w:before="120" w:after="20"/>
      </w:pPr>
      <w:r>
        <w:rPr>
          <w:rFonts w:ascii="Consolas" w:hAnsi="Consolas"/>
          <w:b/>
          <w:color w:val="B8862A"/>
          <w:sz w:val="16"/>
        </w:rPr>
        <w:t>LA FRASE QUE CIERRA EL ARGUMENTO</w:t>
      </w:r>
    </w:p>
    <w:p>
      <w:pPr>
        <w:spacing w:before="100" w:after="100"/>
        <w:ind w:left="340"/>
        <w:pBdr>
          <w:left w:val="single" w:sz="12" w:space="8" w:color="B8332A"/>
        </w:pBdr>
      </w:pPr>
      <w:r>
        <w:rPr>
          <w:rFonts w:ascii="Calibri" w:hAnsi="Calibri"/>
          <w:i/>
          <w:color w:val="1A1612"/>
          <w:sz w:val="22"/>
        </w:rPr>
        <w:t>"No regulamos las tienditas. Educamos a quienes las visitarán toda su vida."</w:t>
      </w:r>
    </w:p>
    <w:p>
      <w:r>
        <w:br w:type="page"/>
      </w:r>
    </w:p>
    <w:p>
      <w:pPr>
        <w:spacing w:before="280" w:after="40"/>
      </w:pPr>
      <w:r>
        <w:rPr>
          <w:rFonts w:ascii="Consolas" w:hAnsi="Consolas"/>
          <w:b/>
          <w:color w:val="B8332A"/>
          <w:sz w:val="18"/>
        </w:rPr>
        <w:t xml:space="preserve">SLIDE 8   </w:t>
      </w:r>
      <w:r>
        <w:rPr>
          <w:rFonts w:ascii="Calibri" w:hAnsi="Calibri"/>
          <w:b/>
          <w:color w:val="1A1612"/>
          <w:sz w:val="28"/>
        </w:rPr>
        <w:t>Acto 04 — La Solución (Los Cuatro Componentes)</w:t>
      </w:r>
    </w:p>
    <w:p>
      <w:pPr>
        <w:spacing w:before="40" w:after="40"/>
        <w:pBdr>
          <w:bottom w:val="single" w:sz="6" w:space="1" w:color="B8332A"/>
        </w:pBdr>
      </w:pPr>
    </w:p>
    <w:p>
      <w:pPr>
        <w:spacing w:before="20" w:after="120"/>
      </w:pPr>
      <w:r>
        <w:rPr>
          <w:rFonts w:ascii="Consolas" w:hAnsi="Consolas"/>
          <w:i/>
          <w:color w:val="7A7368"/>
          <w:sz w:val="17"/>
        </w:rPr>
        <w:t>Habla: Fernanda</w:t>
      </w:r>
    </w:p>
    <w:p>
      <w:pPr>
        <w:spacing w:before="120" w:after="20"/>
      </w:pPr>
      <w:r>
        <w:rPr>
          <w:rFonts w:ascii="Consolas" w:hAnsi="Consolas"/>
          <w:b/>
          <w:color w:val="B8862A"/>
          <w:sz w:val="16"/>
        </w:rPr>
        <w:t>¿QUÉ MUESTRA?</w:t>
      </w:r>
    </w:p>
    <w:p>
      <w:pPr>
        <w:spacing w:before="20" w:after="80"/>
      </w:pPr>
      <w:r>
        <w:rPr>
          <w:rFonts w:ascii="Calibri" w:hAnsi="Calibri"/>
          <w:sz w:val="21"/>
        </w:rPr>
        <w:t>Cuatro cajas oscuras (A, B, C, D) con los componentes de la intervención, y una barra dorada en la parte inferior con el costo estimado.</w:t>
      </w:r>
    </w:p>
    <w:p>
      <w:pPr>
        <w:spacing w:before="120" w:after="20"/>
      </w:pPr>
      <w:r>
        <w:rPr>
          <w:rFonts w:ascii="Consolas" w:hAnsi="Consolas"/>
          <w:b/>
          <w:color w:val="B8862A"/>
          <w:sz w:val="16"/>
        </w:rPr>
        <w:t>¿QUÉ ES CADA COMPONENTE?</w:t>
      </w:r>
    </w:p>
    <w:p>
      <w:pPr>
        <w:pStyle w:val="ListBullet"/>
        <w:spacing w:before="20" w:after="40"/>
        <w:ind w:left="454"/>
      </w:pPr>
      <w:r>
        <w:rPr>
          <w:rFonts w:ascii="Calibri" w:hAnsi="Calibri"/>
          <w:b/>
          <w:sz w:val="21"/>
        </w:rPr>
        <w:t xml:space="preserve">A —  </w:t>
      </w:r>
      <w:r>
        <w:rPr>
          <w:rFonts w:ascii="Calibri" w:hAnsi="Calibri"/>
          <w:sz w:val="21"/>
        </w:rPr>
        <w:t>A — EF ampliada (2h → 3h):</w:t>
      </w:r>
    </w:p>
    <w:p>
      <w:pPr>
        <w:spacing w:before="20" w:after="80"/>
        <w:ind w:left="283"/>
      </w:pPr>
      <w:r>
        <w:rPr>
          <w:rFonts w:ascii="Calibri" w:hAnsi="Calibri"/>
          <w:sz w:val="21"/>
        </w:rPr>
        <w:t>La hora extra no es para hacer más ejercicio genérico. Es para 'alfabetización de estilo de vida activo': aprender a leer etiquetas nutricionales, planear un snack sano con un presupuesto real de 20 pesos, mapear las opciones de comida alrededor de la escuela.</w:t>
      </w:r>
    </w:p>
    <w:p>
      <w:pPr>
        <w:pStyle w:val="ListBullet"/>
        <w:spacing w:before="20" w:after="40"/>
        <w:ind w:left="454"/>
      </w:pPr>
      <w:r>
        <w:rPr>
          <w:rFonts w:ascii="Calibri" w:hAnsi="Calibri"/>
          <w:b/>
          <w:sz w:val="21"/>
        </w:rPr>
        <w:t xml:space="preserve">B —  </w:t>
      </w:r>
      <w:r>
        <w:rPr>
          <w:rFonts w:ascii="Calibri" w:hAnsi="Calibri"/>
          <w:sz w:val="21"/>
        </w:rPr>
        <w:t>B — Módulo de entorno crítico:</w:t>
      </w:r>
    </w:p>
    <w:p>
      <w:pPr>
        <w:spacing w:before="20" w:after="80"/>
        <w:ind w:left="283"/>
      </w:pPr>
      <w:r>
        <w:rPr>
          <w:rFonts w:ascii="Calibri" w:hAnsi="Calibri"/>
          <w:sz w:val="21"/>
        </w:rPr>
        <w:t>Cada dos semanas, los estudiantes salen a auditar las tienditas alrededor de su escuela. Cuentan productos, documentan precios de opciones sanas vs no sanas, presentan sus hallazgos. La escuela se convierte en laboratorio de campo.</w:t>
      </w:r>
    </w:p>
    <w:p>
      <w:pPr>
        <w:pStyle w:val="ListBullet"/>
        <w:spacing w:before="20" w:after="40"/>
        <w:ind w:left="454"/>
      </w:pPr>
      <w:r>
        <w:rPr>
          <w:rFonts w:ascii="Calibri" w:hAnsi="Calibri"/>
          <w:b/>
          <w:sz w:val="21"/>
        </w:rPr>
        <w:t xml:space="preserve">C —  </w:t>
      </w:r>
      <w:r>
        <w:rPr>
          <w:rFonts w:ascii="Calibri" w:hAnsi="Calibri"/>
          <w:sz w:val="21"/>
        </w:rPr>
        <w:t>C — Capacitación docente:</w:t>
      </w:r>
    </w:p>
    <w:p>
      <w:pPr>
        <w:spacing w:before="20" w:after="80"/>
        <w:ind w:left="283"/>
      </w:pPr>
      <w:r>
        <w:rPr>
          <w:rFonts w:ascii="Calibri" w:hAnsi="Calibri"/>
          <w:sz w:val="21"/>
        </w:rPr>
        <w:t>Un paquete asincrónico de 8 horas más un taller opcional de 4 horas. Sin docentes preparados, ninguno de los componentes anteriores llega al aula.</w:t>
      </w:r>
    </w:p>
    <w:p>
      <w:pPr>
        <w:pStyle w:val="ListBullet"/>
        <w:spacing w:before="20" w:after="40"/>
        <w:ind w:left="454"/>
      </w:pPr>
      <w:r>
        <w:rPr>
          <w:rFonts w:ascii="Calibri" w:hAnsi="Calibri"/>
          <w:b/>
          <w:sz w:val="21"/>
        </w:rPr>
        <w:t xml:space="preserve">D —  </w:t>
      </w:r>
      <w:r>
        <w:rPr>
          <w:rFonts w:ascii="Calibri" w:hAnsi="Calibri"/>
          <w:sz w:val="21"/>
        </w:rPr>
        <w:t>D — Puente familiar:</w:t>
      </w:r>
    </w:p>
    <w:p>
      <w:pPr>
        <w:spacing w:before="20" w:after="80"/>
        <w:ind w:left="283"/>
      </w:pPr>
      <w:r>
        <w:rPr>
          <w:rFonts w:ascii="Calibri" w:hAnsi="Calibri"/>
          <w:sz w:val="21"/>
        </w:rPr>
        <w:t>Una actividad mensual para llevar a casa: conversación guiada + receta económica. Diseñada expresamente para familias que ya declararon que el tiempo es su principal problema — no es tarea, es una invitación.</w:t>
      </w:r>
    </w:p>
    <w:p>
      <w:pPr>
        <w:spacing w:before="120" w:after="20"/>
      </w:pPr>
      <w:r>
        <w:rPr>
          <w:rFonts w:ascii="Consolas" w:hAnsi="Consolas"/>
          <w:b/>
          <w:color w:val="B8862A"/>
          <w:sz w:val="16"/>
        </w:rPr>
        <w:t>¿POR QUÉ NO PROPONER UNA MATERIA NUEVA?</w:t>
      </w:r>
    </w:p>
    <w:p>
      <w:pPr>
        <w:spacing w:before="20" w:after="80"/>
      </w:pPr>
      <w:r>
        <w:rPr>
          <w:rFonts w:ascii="Calibri" w:hAnsi="Calibri"/>
          <w:sz w:val="21"/>
        </w:rPr>
        <w:t>Porque requeriría reforma curricular federal, que es políticamente inviable en el horizonte de la competencia. El eje 'Vida Saludable' y la materia de EF ya existen en la Nueva Escuela Mexicana (Plan 2022). Reforzar lo existente es más rápido, más barato y más realista.</w:t>
      </w:r>
    </w:p>
    <w:p>
      <w:pPr>
        <w:spacing w:before="120" w:after="20"/>
      </w:pPr>
      <w:r>
        <w:rPr>
          <w:rFonts w:ascii="Consolas" w:hAnsi="Consolas"/>
          <w:b/>
          <w:color w:val="B8862A"/>
          <w:sz w:val="16"/>
        </w:rPr>
        <w:t>EL COSTO EN PERSPECTIVA</w:t>
      </w:r>
    </w:p>
    <w:p>
      <w:pPr>
        <w:spacing w:before="40" w:after="40"/>
        <w:ind w:left="283"/>
      </w:pPr>
      <w:r>
        <w:rPr>
          <w:rFonts w:ascii="Calibri" w:hAnsi="Calibri"/>
          <w:b/>
          <w:color w:val="B8862A"/>
          <w:sz w:val="26"/>
        </w:rPr>
        <w:t xml:space="preserve">~$9,500 MXN  </w:t>
      </w:r>
      <w:r>
        <w:rPr>
          <w:rFonts w:ascii="Calibri" w:hAnsi="Calibri"/>
          <w:color w:val="1A1612"/>
          <w:sz w:val="21"/>
        </w:rPr>
        <w:t>por escuela por año</w:t>
      </w:r>
    </w:p>
    <w:p>
      <w:pPr>
        <w:spacing w:before="40" w:after="40"/>
        <w:ind w:left="283"/>
      </w:pPr>
      <w:r>
        <w:rPr>
          <w:rFonts w:ascii="Calibri" w:hAnsi="Calibri"/>
          <w:b/>
          <w:color w:val="B8862A"/>
          <w:sz w:val="26"/>
        </w:rPr>
        <w:t xml:space="preserve">~$330 M MXN  </w:t>
      </w:r>
      <w:r>
        <w:rPr>
          <w:rFonts w:ascii="Calibri" w:hAnsi="Calibri"/>
          <w:color w:val="1A1612"/>
          <w:sz w:val="21"/>
        </w:rPr>
        <w:t>si se escala a las 35,000 secundarias del país</w:t>
      </w:r>
    </w:p>
    <w:p>
      <w:pPr>
        <w:spacing w:before="40" w:after="40"/>
        <w:ind w:left="283"/>
      </w:pPr>
      <w:r>
        <w:rPr>
          <w:rFonts w:ascii="Calibri" w:hAnsi="Calibri"/>
          <w:b/>
          <w:color w:val="2D5E3E"/>
          <w:sz w:val="26"/>
        </w:rPr>
        <w:t xml:space="preserve">&lt; 0.05%  </w:t>
      </w:r>
      <w:r>
        <w:rPr>
          <w:rFonts w:ascii="Calibri" w:hAnsi="Calibri"/>
          <w:color w:val="1A1612"/>
          <w:sz w:val="21"/>
        </w:rPr>
        <w:t>del presupuesto federal educativo anual</w:t>
      </w:r>
    </w:p>
    <w:p>
      <w:r>
        <w:br w:type="page"/>
      </w:r>
    </w:p>
    <w:p>
      <w:pPr>
        <w:spacing w:before="280" w:after="40"/>
      </w:pPr>
      <w:r>
        <w:rPr>
          <w:rFonts w:ascii="Consolas" w:hAnsi="Consolas"/>
          <w:b/>
          <w:color w:val="B8332A"/>
          <w:sz w:val="18"/>
        </w:rPr>
        <w:t xml:space="preserve">SLIDE 9   </w:t>
      </w:r>
      <w:r>
        <w:rPr>
          <w:rFonts w:ascii="Calibri" w:hAnsi="Calibri"/>
          <w:b/>
          <w:color w:val="1A1612"/>
          <w:sz w:val="28"/>
        </w:rPr>
        <w:t>Acto 04 — Proyección Monte Carlo</w:t>
      </w:r>
    </w:p>
    <w:p>
      <w:pPr>
        <w:spacing w:before="40" w:after="40"/>
        <w:pBdr>
          <w:bottom w:val="single" w:sz="6" w:space="1" w:color="B8332A"/>
        </w:pBdr>
      </w:pPr>
    </w:p>
    <w:p>
      <w:pPr>
        <w:spacing w:before="20" w:after="120"/>
      </w:pPr>
      <w:r>
        <w:rPr>
          <w:rFonts w:ascii="Consolas" w:hAnsi="Consolas"/>
          <w:i/>
          <w:color w:val="7A7368"/>
          <w:sz w:val="17"/>
        </w:rPr>
        <w:t>Habla: Carlos</w:t>
      </w:r>
    </w:p>
    <w:p>
      <w:pPr>
        <w:spacing w:before="120" w:after="20"/>
      </w:pPr>
      <w:r>
        <w:rPr>
          <w:rFonts w:ascii="Consolas" w:hAnsi="Consolas"/>
          <w:b/>
          <w:color w:val="B8862A"/>
          <w:sz w:val="16"/>
        </w:rPr>
        <w:t>¿QUÉ MUESTRA?</w:t>
      </w:r>
    </w:p>
    <w:p>
      <w:pPr>
        <w:spacing w:before="20" w:after="80"/>
      </w:pPr>
      <w:r>
        <w:rPr>
          <w:rFonts w:ascii="Calibri" w:hAnsi="Calibri"/>
          <w:sz w:val="21"/>
        </w:rPr>
        <w:t>Una gráfica de líneas con 5 escenarios proyectados del año 0 al año 5 (lado izquierdo) y una tabla de resultados al año 5 por escenario (lado derecho). Una barra roja en la parte inferior advierte que el escenario nulo está incluido intencionalmente.</w:t>
      </w:r>
    </w:p>
    <w:p>
      <w:pPr>
        <w:spacing w:before="120" w:after="20"/>
      </w:pPr>
      <w:r>
        <w:rPr>
          <w:rFonts w:ascii="Consolas" w:hAnsi="Consolas"/>
          <w:b/>
          <w:color w:val="B8862A"/>
          <w:sz w:val="16"/>
        </w:rPr>
        <w:t>¿QUÉ ES UNA SIMULACIÓN MONTE CARLO, EN PALABRAS SIMPLES?</w:t>
      </w:r>
    </w:p>
    <w:p>
      <w:pPr>
        <w:spacing w:before="20" w:after="80"/>
      </w:pPr>
      <w:r>
        <w:rPr>
          <w:rFonts w:ascii="Calibri" w:hAnsi="Calibri"/>
          <w:sz w:val="21"/>
        </w:rPr>
        <w:t>Imagina que quieres estimar cuántas veces cae cara una moneda en 100 lanzamientos. En vez de calcularlo una vez, lo repites 5,000 veces para ver el rango de resultados posibles. Eso es Monte Carlo: repetir una simulación muchas veces con parámetros que varían aleatoriamente dentro de rangos conocidos, para obtener no solo una estimación sino una distribución de posibles resultados.</w:t>
      </w:r>
    </w:p>
    <w:p>
      <w:pPr>
        <w:spacing w:before="20" w:after="80"/>
      </w:pPr>
      <w:r>
        <w:rPr>
          <w:rFonts w:ascii="Calibri" w:hAnsi="Calibri"/>
          <w:sz w:val="21"/>
        </w:rPr>
        <w:t>Nosotros lo aplicamos al IMC de 1,000 estudiantes simulados, proyectando su evolución año a año durante 5 años, repitiendo 5,000 veces por cada escenario.</w:t>
      </w:r>
    </w:p>
    <w:p>
      <w:pPr>
        <w:spacing w:before="120" w:after="20"/>
      </w:pPr>
      <w:r>
        <w:rPr>
          <w:rFonts w:ascii="Consolas" w:hAnsi="Consolas"/>
          <w:b/>
          <w:color w:val="B8862A"/>
          <w:sz w:val="16"/>
        </w:rPr>
        <w:t>¿POR QUÉ MONTE CARLO Y NO DATOS REALES DE MÉXICO?</w:t>
      </w:r>
    </w:p>
    <w:p>
      <w:pPr>
        <w:spacing w:before="20" w:after="80"/>
      </w:pPr>
      <w:r>
        <w:rPr>
          <w:rFonts w:ascii="Calibri" w:hAnsi="Calibri"/>
          <w:sz w:val="21"/>
        </w:rPr>
        <w:t>Porque no existen datos longitudinales de intervención educativa sobre IMC en secundarias mexicanas. Lo que sí existen son meta-análisis internacionales publicados (Silveira 2013, Cochrane, Brown 2020, Hodder 2021) con tamaños de efecto y sus intervalos de confianza. Monte Carlo con parámetros de literatura es la opción metodológicamente honesta: cada input tiene cita, cada output reporta incertidumbre.</w:t>
      </w:r>
    </w:p>
    <w:p>
      <w:pPr>
        <w:spacing w:before="120" w:after="20"/>
      </w:pPr>
      <w:r>
        <w:rPr>
          <w:rFonts w:ascii="Consolas" w:hAnsi="Consolas"/>
          <w:b/>
          <w:color w:val="B8862A"/>
          <w:sz w:val="16"/>
        </w:rPr>
        <w:t>¿QUÉ MUESTRA CADA LÍNEA DE LA GRÁFICA?</w:t>
      </w:r>
    </w:p>
    <w:p>
      <w:pPr>
        <w:pStyle w:val="ListBullet"/>
        <w:spacing w:before="20" w:after="40"/>
        <w:ind w:left="454"/>
      </w:pPr>
      <w:r>
        <w:rPr>
          <w:rFonts w:ascii="Calibri" w:hAnsi="Calibri"/>
          <w:sz w:val="21"/>
        </w:rPr>
        <w:t>Gris punteada — Sin intervención: sin hacer nada, la obesidad sube de 31.9% a 36.4% en 5 años (solo por crecimiento natural del IMC)</w:t>
      </w:r>
    </w:p>
    <w:p>
      <w:pPr>
        <w:pStyle w:val="ListBullet"/>
        <w:spacing w:before="20" w:after="40"/>
        <w:ind w:left="454"/>
      </w:pPr>
      <w:r>
        <w:rPr>
          <w:rFonts w:ascii="Calibri" w:hAnsi="Calibri"/>
          <w:sz w:val="21"/>
        </w:rPr>
        <w:t>Gris clara — Resultado nulo (Hodder 2021): la intervención no tiene efecto duradero, se queda en ~32%</w:t>
      </w:r>
    </w:p>
    <w:p>
      <w:pPr>
        <w:pStyle w:val="ListBullet"/>
        <w:spacing w:before="20" w:after="40"/>
        <w:ind w:left="454"/>
      </w:pPr>
      <w:r>
        <w:rPr>
          <w:rFonts w:ascii="Calibri" w:hAnsi="Calibri"/>
          <w:sz w:val="21"/>
        </w:rPr>
        <w:t>Dorada — Conservador: efecto pequeño, baja a 29.8% (−2.1 pp)</w:t>
      </w:r>
    </w:p>
    <w:p>
      <w:pPr>
        <w:pStyle w:val="ListBullet"/>
        <w:spacing w:before="20" w:after="40"/>
        <w:ind w:left="454"/>
      </w:pPr>
      <w:r>
        <w:rPr>
          <w:rFonts w:ascii="Calibri" w:hAnsi="Calibri"/>
          <w:sz w:val="21"/>
        </w:rPr>
        <w:t>Verde oscuro — Central: efecto promedio de la literatura, baja a 26.2% (−5.7 pp)</w:t>
      </w:r>
    </w:p>
    <w:p>
      <w:pPr>
        <w:pStyle w:val="ListBullet"/>
        <w:spacing w:before="20" w:after="40"/>
        <w:ind w:left="454"/>
      </w:pPr>
      <w:r>
        <w:rPr>
          <w:rFonts w:ascii="Calibri" w:hAnsi="Calibri"/>
          <w:sz w:val="21"/>
        </w:rPr>
        <w:t>Azul — Optimista: mejor escenario posible, baja a 22.7% (−9.2 pp)</w:t>
      </w:r>
    </w:p>
    <w:p>
      <w:pPr>
        <w:spacing w:before="120" w:after="20"/>
      </w:pPr>
      <w:r>
        <w:rPr>
          <w:rFonts w:ascii="Consolas" w:hAnsi="Consolas"/>
          <w:b/>
          <w:color w:val="B8862A"/>
          <w:sz w:val="16"/>
        </w:rPr>
        <w:t>¿POR QUÉ INCLUIR EL ESCENARIO NULO?</w:t>
      </w:r>
    </w:p>
    <w:p>
      <w:pPr>
        <w:spacing w:before="20" w:after="80"/>
      </w:pPr>
      <w:r>
        <w:rPr>
          <w:rFonts w:ascii="Calibri" w:hAnsi="Calibri"/>
          <w:sz w:val="21"/>
        </w:rPr>
        <w:t>Porque Hodder et al. (2021) encontraron que muchas intervenciones escolares no tienen efecto duradero a largo plazo. Si omitiéramos ese escenario, estaríamos seleccionando datos a conveniencia. Un juez del MIT lo buscaría. Incluirlo demuestra rigor y hace los resultados positivos más creíbles.</w:t>
      </w:r>
    </w:p>
    <w:p>
      <w:pPr>
        <w:spacing w:before="120" w:after="20"/>
      </w:pPr>
      <w:r>
        <w:rPr>
          <w:rFonts w:ascii="Consolas" w:hAnsi="Consolas"/>
          <w:b/>
          <w:color w:val="B8862A"/>
          <w:sz w:val="16"/>
        </w:rPr>
        <w:t>FRASE CLAVE</w:t>
      </w:r>
    </w:p>
    <w:p>
      <w:pPr>
        <w:spacing w:before="100" w:after="100"/>
        <w:ind w:left="340"/>
        <w:pBdr>
          <w:left w:val="single" w:sz="12" w:space="8" w:color="B8332A"/>
        </w:pBdr>
      </w:pPr>
      <w:r>
        <w:rPr>
          <w:rFonts w:ascii="Calibri" w:hAnsi="Calibri"/>
          <w:i/>
          <w:color w:val="1A1612"/>
          <w:sz w:val="22"/>
        </w:rPr>
        <w:t>"Esta simulación no es una predicción. Es una proyección honesta de lo que la literatura dice que es posible."</w:t>
      </w:r>
    </w:p>
    <w:p>
      <w:r>
        <w:br w:type="page"/>
      </w:r>
    </w:p>
    <w:p>
      <w:pPr>
        <w:spacing w:before="280" w:after="40"/>
      </w:pPr>
      <w:r>
        <w:rPr>
          <w:rFonts w:ascii="Consolas" w:hAnsi="Consolas"/>
          <w:b/>
          <w:color w:val="B8332A"/>
          <w:sz w:val="18"/>
        </w:rPr>
        <w:t xml:space="preserve">SLIDE 10   </w:t>
      </w:r>
      <w:r>
        <w:rPr>
          <w:rFonts w:ascii="Calibri" w:hAnsi="Calibri"/>
          <w:b/>
          <w:color w:val="1A1612"/>
          <w:sz w:val="28"/>
        </w:rPr>
        <w:t>Honestidad Epistémica — Las Tres Columnas</w:t>
      </w:r>
    </w:p>
    <w:p>
      <w:pPr>
        <w:spacing w:before="40" w:after="40"/>
        <w:pBdr>
          <w:bottom w:val="single" w:sz="6" w:space="1" w:color="B8332A"/>
        </w:pBdr>
      </w:pPr>
    </w:p>
    <w:p>
      <w:pPr>
        <w:spacing w:before="20" w:after="120"/>
      </w:pPr>
      <w:r>
        <w:rPr>
          <w:rFonts w:ascii="Consolas" w:hAnsi="Consolas"/>
          <w:i/>
          <w:color w:val="7A7368"/>
          <w:sz w:val="17"/>
        </w:rPr>
        <w:t>Habla: Carlos</w:t>
      </w:r>
    </w:p>
    <w:p>
      <w:pPr>
        <w:spacing w:before="120" w:after="20"/>
      </w:pPr>
      <w:r>
        <w:rPr>
          <w:rFonts w:ascii="Consolas" w:hAnsi="Consolas"/>
          <w:b/>
          <w:color w:val="B8862A"/>
          <w:sz w:val="16"/>
        </w:rPr>
        <w:t>¿QUÉ MUESTRA?</w:t>
      </w:r>
    </w:p>
    <w:p>
      <w:pPr>
        <w:spacing w:before="20" w:after="80"/>
      </w:pPr>
      <w:r>
        <w:rPr>
          <w:rFonts w:ascii="Calibri" w:hAnsi="Calibri"/>
          <w:sz w:val="21"/>
        </w:rPr>
        <w:t>Tres columnas con encabezados de colores distintos: 'Lo que sabemos' (verde), 'Lo que asumimos' (dorado) y 'Lo que no sabemos' (rojo). Cada columna tiene 4–5 puntos. Un disclaimer en la parte inferior.</w:t>
      </w:r>
    </w:p>
    <w:p>
      <w:pPr>
        <w:spacing w:before="120" w:after="20"/>
      </w:pPr>
      <w:r>
        <w:rPr>
          <w:rFonts w:ascii="Consolas" w:hAnsi="Consolas"/>
          <w:b/>
          <w:color w:val="B8862A"/>
          <w:sz w:val="16"/>
        </w:rPr>
        <w:t>¿PARA QUÉ SIRVE ESTE SLIDE?</w:t>
      </w:r>
    </w:p>
    <w:p>
      <w:pPr>
        <w:spacing w:before="20" w:after="80"/>
      </w:pPr>
      <w:r>
        <w:rPr>
          <w:rFonts w:ascii="Calibri" w:hAnsi="Calibri"/>
          <w:sz w:val="21"/>
        </w:rPr>
        <w:t>Para demostrar madurez intelectual. Un proyecto que declara abiertamente sus limitaciones es más creíble que uno que finge no tenerlas. Los jueces del MIT tienen experiencia suficiente para saber que todo modelo tiene supuestos y puntos ciegos — si no los declaras, desconfían.</w:t>
      </w:r>
    </w:p>
    <w:p>
      <w:pPr>
        <w:spacing w:before="120" w:after="20"/>
      </w:pPr>
      <w:r>
        <w:rPr>
          <w:rFonts w:ascii="Consolas" w:hAnsi="Consolas"/>
          <w:b/>
          <w:color w:val="B8862A"/>
          <w:sz w:val="16"/>
        </w:rPr>
        <w:t>¿QUÉ DICE CADA COLUMNA?</w:t>
      </w:r>
    </w:p>
    <w:p>
      <w:pPr>
        <w:pStyle w:val="ListBullet"/>
        <w:spacing w:before="20" w:after="40"/>
        <w:ind w:left="454"/>
      </w:pPr>
      <w:r>
        <w:rPr>
          <w:rFonts w:ascii="Calibri" w:hAnsi="Calibri"/>
          <w:sz w:val="21"/>
        </w:rPr>
        <w:t>Lo que sabemos (medido directamente con datos reales):</w:t>
      </w:r>
    </w:p>
    <w:p>
      <w:pPr>
        <w:spacing w:before="20" w:after="80"/>
        <w:ind w:left="283"/>
      </w:pPr>
      <w:r>
        <w:rPr>
          <w:rFonts w:ascii="Calibri" w:hAnsi="Calibri"/>
          <w:sz w:val="21"/>
        </w:rPr>
        <w:t>La barrera estructural está confirmada en dos datasets independientes. R²=0.032 — la regresión lineal falla. AUC=0.55 — el ML tampoco predice. 66% de la última milla no ofrece opciones sanas. El efecto central de la literatura es −0.17 kg/m².</w:t>
      </w:r>
    </w:p>
    <w:p>
      <w:pPr>
        <w:pStyle w:val="ListBullet"/>
        <w:spacing w:before="20" w:after="40"/>
        <w:ind w:left="454"/>
      </w:pPr>
      <w:r>
        <w:rPr>
          <w:rFonts w:ascii="Calibri" w:hAnsi="Calibri"/>
          <w:sz w:val="21"/>
        </w:rPr>
        <w:t>Lo que asumimos (tomado de la literatura, no medido por nosotros):</w:t>
      </w:r>
    </w:p>
    <w:p>
      <w:pPr>
        <w:spacing w:before="20" w:after="80"/>
        <w:ind w:left="283"/>
      </w:pPr>
      <w:r>
        <w:rPr>
          <w:rFonts w:ascii="Calibri" w:hAnsi="Calibri"/>
          <w:sz w:val="21"/>
        </w:rPr>
        <w:t>Que los efectos publicados en otros países son trasladables a México. Que la adherencia docente será del 80%. Que 1 hora extra semanal es la dosis mínima efectiva. Que el eje Vida Saludable ya existe y solo necesita refuerzo.</w:t>
      </w:r>
    </w:p>
    <w:p>
      <w:pPr>
        <w:pStyle w:val="ListBullet"/>
        <w:spacing w:before="20" w:after="40"/>
        <w:ind w:left="454"/>
      </w:pPr>
      <w:r>
        <w:rPr>
          <w:rFonts w:ascii="Calibri" w:hAnsi="Calibri"/>
          <w:sz w:val="21"/>
        </w:rPr>
        <w:t>Lo que no sabemos (requeriría un piloto real para responder):</w:t>
      </w:r>
    </w:p>
    <w:p>
      <w:pPr>
        <w:spacing w:before="20" w:after="80"/>
        <w:ind w:left="283"/>
      </w:pPr>
      <w:r>
        <w:rPr>
          <w:rFonts w:ascii="Calibri" w:hAnsi="Calibri"/>
          <w:sz w:val="21"/>
        </w:rPr>
        <w:t>Si los efectos se mantienen más de 5 años. Cómo escala el programa a 35,000 secundarias. Qué pasa con la fidelidad docente en la práctica real. Si los resultados de Hodder 2021 aplican al contexto mexicano.</w:t>
      </w:r>
    </w:p>
    <w:p>
      <w:pPr>
        <w:spacing w:before="120" w:after="20"/>
      </w:pPr>
      <w:r>
        <w:rPr>
          <w:rFonts w:ascii="Consolas" w:hAnsi="Consolas"/>
          <w:b/>
          <w:color w:val="B8862A"/>
          <w:sz w:val="16"/>
        </w:rPr>
        <w:t>FRASE CLAVE</w:t>
      </w:r>
    </w:p>
    <w:p>
      <w:pPr>
        <w:spacing w:before="100" w:after="100"/>
        <w:ind w:left="340"/>
        <w:pBdr>
          <w:left w:val="single" w:sz="12" w:space="8" w:color="B8332A"/>
        </w:pBdr>
      </w:pPr>
      <w:r>
        <w:rPr>
          <w:rFonts w:ascii="Calibri" w:hAnsi="Calibri"/>
          <w:i/>
          <w:color w:val="1A1612"/>
          <w:sz w:val="22"/>
        </w:rPr>
        <w:t>"La honestidad sobre las limitaciones no debilita la propuesta — la hace creíble."</w:t>
      </w:r>
    </w:p>
    <w:p>
      <w:r>
        <w:br w:type="page"/>
      </w:r>
    </w:p>
    <w:p>
      <w:pPr>
        <w:spacing w:before="280" w:after="40"/>
      </w:pPr>
      <w:r>
        <w:rPr>
          <w:rFonts w:ascii="Consolas" w:hAnsi="Consolas"/>
          <w:b/>
          <w:color w:val="B8332A"/>
          <w:sz w:val="18"/>
        </w:rPr>
        <w:t xml:space="preserve">SLIDE 11   </w:t>
      </w:r>
      <w:r>
        <w:rPr>
          <w:rFonts w:ascii="Calibri" w:hAnsi="Calibri"/>
          <w:b/>
          <w:color w:val="1A1612"/>
          <w:sz w:val="28"/>
        </w:rPr>
        <w:t>Validación Experta — Cinco Perspectivas</w:t>
      </w:r>
    </w:p>
    <w:p>
      <w:pPr>
        <w:spacing w:before="40" w:after="40"/>
        <w:pBdr>
          <w:bottom w:val="single" w:sz="6" w:space="1" w:color="B8332A"/>
        </w:pBdr>
      </w:pPr>
    </w:p>
    <w:p>
      <w:pPr>
        <w:spacing w:before="20" w:after="120"/>
      </w:pPr>
      <w:r>
        <w:rPr>
          <w:rFonts w:ascii="Consolas" w:hAnsi="Consolas"/>
          <w:i/>
          <w:color w:val="7A7368"/>
          <w:sz w:val="17"/>
        </w:rPr>
        <w:t>Habla: Alexis</w:t>
      </w:r>
    </w:p>
    <w:p>
      <w:pPr>
        <w:spacing w:before="120" w:after="20"/>
      </w:pPr>
      <w:r>
        <w:rPr>
          <w:rFonts w:ascii="Consolas" w:hAnsi="Consolas"/>
          <w:b/>
          <w:color w:val="B8862A"/>
          <w:sz w:val="16"/>
        </w:rPr>
        <w:t>¿QUÉ MUESTRA?</w:t>
      </w:r>
    </w:p>
    <w:p>
      <w:pPr>
        <w:spacing w:before="20" w:after="80"/>
      </w:pPr>
      <w:r>
        <w:rPr>
          <w:rFonts w:ascii="Calibri" w:hAnsi="Calibri"/>
          <w:sz w:val="21"/>
        </w:rPr>
        <w:t>Cinco cajas oscuras verticales, cada una con un placeholder de video (▶), el nombre del experto y su perfil. Una línea al fondo explica el criterio de convergencia.</w:t>
      </w:r>
    </w:p>
    <w:p>
      <w:pPr>
        <w:spacing w:before="120" w:after="20"/>
      </w:pPr>
      <w:r>
        <w:rPr>
          <w:rFonts w:ascii="Consolas" w:hAnsi="Consolas"/>
          <w:b/>
          <w:color w:val="B8862A"/>
          <w:sz w:val="16"/>
        </w:rPr>
        <w:t>¿QUIÉNES SON LOS CINCO EXPERTOS?</w:t>
      </w:r>
    </w:p>
    <w:p>
      <w:pPr>
        <w:pStyle w:val="ListBullet"/>
        <w:spacing w:before="20" w:after="40"/>
        <w:ind w:left="454"/>
      </w:pPr>
      <w:r>
        <w:rPr>
          <w:rFonts w:ascii="Calibri" w:hAnsi="Calibri"/>
          <w:sz w:val="21"/>
        </w:rPr>
        <w:t>Dr. Leopoldo Zúñiga Silva — Investigación educativa, Tec de Monterrey</w:t>
      </w:r>
    </w:p>
    <w:p>
      <w:pPr>
        <w:pStyle w:val="ListBullet"/>
        <w:spacing w:before="20" w:after="40"/>
        <w:ind w:left="454"/>
      </w:pPr>
      <w:r>
        <w:rPr>
          <w:rFonts w:ascii="Calibri" w:hAnsi="Calibri"/>
          <w:sz w:val="21"/>
        </w:rPr>
        <w:t>Dr. José Manuel Olais Govea — Investigación educativa, Tec de Monterrey</w:t>
      </w:r>
    </w:p>
    <w:p>
      <w:pPr>
        <w:pStyle w:val="ListBullet"/>
        <w:spacing w:before="20" w:after="40"/>
        <w:ind w:left="454"/>
      </w:pPr>
      <w:r>
        <w:rPr>
          <w:rFonts w:ascii="Calibri" w:hAnsi="Calibri"/>
          <w:sz w:val="21"/>
        </w:rPr>
        <w:t>Director, Sec. Técnica 78 (Matehuala, SLP) — Perspectiva de implementación institucional</w:t>
      </w:r>
    </w:p>
    <w:p>
      <w:pPr>
        <w:pStyle w:val="ListBullet"/>
        <w:spacing w:before="20" w:after="40"/>
        <w:ind w:left="454"/>
      </w:pPr>
      <w:r>
        <w:rPr>
          <w:rFonts w:ascii="Calibri" w:hAnsi="Calibri"/>
          <w:sz w:val="21"/>
        </w:rPr>
        <w:t>Docente de EF (practicante fitness) — Perspectiva de práctica en aula</w:t>
      </w:r>
    </w:p>
    <w:p>
      <w:pPr>
        <w:pStyle w:val="ListBullet"/>
        <w:spacing w:before="20" w:after="40"/>
        <w:ind w:left="454"/>
      </w:pPr>
      <w:r>
        <w:rPr>
          <w:rFonts w:ascii="Calibri" w:hAnsi="Calibri"/>
          <w:sz w:val="21"/>
        </w:rPr>
        <w:t>Estudiante de Educación (fitness) — Perspectiva estudiantil y de formación docente</w:t>
      </w:r>
    </w:p>
    <w:p>
      <w:pPr>
        <w:spacing w:before="120" w:after="20"/>
      </w:pPr>
      <w:r>
        <w:rPr>
          <w:rFonts w:ascii="Consolas" w:hAnsi="Consolas"/>
          <w:b/>
          <w:color w:val="B8862A"/>
          <w:sz w:val="16"/>
        </w:rPr>
        <w:t>¿POR QUÉ ESTAS CINCO PERSPECTIVAS?</w:t>
      </w:r>
    </w:p>
    <w:p>
      <w:pPr>
        <w:spacing w:before="20" w:after="80"/>
      </w:pPr>
      <w:r>
        <w:rPr>
          <w:rFonts w:ascii="Calibri" w:hAnsi="Calibri"/>
          <w:sz w:val="21"/>
        </w:rPr>
        <w:t>Para cubrir los cuatro ángulos que más importan al evaluar una intervención educativa: (1) evidencia académica, (2) viabilidad institucional, (3) factibilidad en el aula, y (4) recepción de los propios destinatarios. Una propuesta respaldada por estos cuatro flancos es difícilmente rechazable solo con objeciones teóricas.</w:t>
      </w:r>
    </w:p>
    <w:p>
      <w:pPr>
        <w:spacing w:before="120" w:after="20"/>
      </w:pPr>
      <w:r>
        <w:rPr>
          <w:rFonts w:ascii="Consolas" w:hAnsi="Consolas"/>
          <w:b/>
          <w:color w:val="B8862A"/>
          <w:sz w:val="16"/>
        </w:rPr>
        <w:t>¿CÓMO FUE EL PROCESO DE VALIDACIÓN?</w:t>
      </w:r>
    </w:p>
    <w:p>
      <w:pPr>
        <w:spacing w:before="20" w:after="80"/>
      </w:pPr>
      <w:r>
        <w:rPr>
          <w:rFonts w:ascii="Calibri" w:hAnsi="Calibri"/>
          <w:sz w:val="21"/>
        </w:rPr>
        <w:t>Entrevistas semi-estructuradas de 30–45 minutos, con las mismas 8 preguntas core para todos, más 2–3 preguntas específicas a cada perfil. Se reporta convergencia cuando 4 o más expertos mencionan el mismo tema de forma independiente.</w:t>
      </w:r>
    </w:p>
    <w:p>
      <w:pPr>
        <w:spacing w:before="120" w:after="20"/>
      </w:pPr>
      <w:r>
        <w:rPr>
          <w:rFonts w:ascii="Consolas" w:hAnsi="Consolas"/>
          <w:b/>
          <w:color w:val="B8862A"/>
          <w:sz w:val="16"/>
        </w:rPr>
        <w:t>¿QUÉ SE HACE DURANTE ESTE SLIDE EN LA PRESENTACIÓN?</w:t>
      </w:r>
    </w:p>
    <w:p>
      <w:pPr>
        <w:spacing w:before="20" w:after="80"/>
      </w:pPr>
      <w:r>
        <w:rPr>
          <w:rFonts w:ascii="Calibri" w:hAnsi="Calibri"/>
          <w:sz w:val="21"/>
        </w:rPr>
        <w:t>Se reproducen clips de video con fragmentos clave de cada entrevista. Alexis hace una introducción breve de cada experto antes de reproducir su clip.</w:t>
      </w:r>
    </w:p>
    <w:p>
      <w:r>
        <w:br w:type="page"/>
      </w:r>
    </w:p>
    <w:p>
      <w:pPr>
        <w:spacing w:before="280" w:after="40"/>
      </w:pPr>
      <w:r>
        <w:rPr>
          <w:rFonts w:ascii="Consolas" w:hAnsi="Consolas"/>
          <w:b/>
          <w:color w:val="B8332A"/>
          <w:sz w:val="18"/>
        </w:rPr>
        <w:t xml:space="preserve">SLIDE 12   </w:t>
      </w:r>
      <w:r>
        <w:rPr>
          <w:rFonts w:ascii="Calibri" w:hAnsi="Calibri"/>
          <w:b/>
          <w:color w:val="1A1612"/>
          <w:sz w:val="28"/>
        </w:rPr>
        <w:t>Cierre — De las Tienditas a las Aulas</w:t>
      </w:r>
    </w:p>
    <w:p>
      <w:pPr>
        <w:spacing w:before="40" w:after="40"/>
        <w:pBdr>
          <w:bottom w:val="single" w:sz="6" w:space="1" w:color="B8332A"/>
        </w:pBdr>
      </w:pPr>
    </w:p>
    <w:p>
      <w:pPr>
        <w:spacing w:before="20" w:after="120"/>
      </w:pPr>
      <w:r>
        <w:rPr>
          <w:rFonts w:ascii="Consolas" w:hAnsi="Consolas"/>
          <w:i/>
          <w:color w:val="7A7368"/>
          <w:sz w:val="17"/>
        </w:rPr>
        <w:t>Habla: Fernanda</w:t>
      </w:r>
    </w:p>
    <w:p>
      <w:pPr>
        <w:spacing w:before="120" w:after="20"/>
      </w:pPr>
      <w:r>
        <w:rPr>
          <w:rFonts w:ascii="Consolas" w:hAnsi="Consolas"/>
          <w:b/>
          <w:color w:val="B8862A"/>
          <w:sz w:val="16"/>
        </w:rPr>
        <w:t>¿QUÉ MUESTRA?</w:t>
      </w:r>
    </w:p>
    <w:p>
      <w:pPr>
        <w:spacing w:before="20" w:after="80"/>
      </w:pPr>
      <w:r>
        <w:rPr>
          <w:rFonts w:ascii="Calibri" w:hAnsi="Calibri"/>
          <w:sz w:val="21"/>
        </w:rPr>
        <w:t>Fondo negro (mismo que el slide 1). Título grande, una cita en dos líneas (la primera en blanco, la segunda en dorado), y los nombres del equipo e institución.</w:t>
      </w:r>
    </w:p>
    <w:p>
      <w:pPr>
        <w:spacing w:before="120" w:after="20"/>
      </w:pPr>
      <w:r>
        <w:rPr>
          <w:rFonts w:ascii="Consolas" w:hAnsi="Consolas"/>
          <w:b/>
          <w:color w:val="B8862A"/>
          <w:sz w:val="16"/>
        </w:rPr>
        <w:t>¿QUÉ DICE LA CITA CENTRAL?</w:t>
      </w:r>
    </w:p>
    <w:p>
      <w:pPr>
        <w:spacing w:before="100" w:after="100"/>
        <w:ind w:left="340"/>
        <w:pBdr>
          <w:left w:val="single" w:sz="12" w:space="8" w:color="B8332A"/>
        </w:pBdr>
      </w:pPr>
      <w:r>
        <w:rPr>
          <w:rFonts w:ascii="Calibri" w:hAnsi="Calibri"/>
          <w:i/>
          <w:color w:val="1A1612"/>
          <w:sz w:val="22"/>
        </w:rPr>
        <w:t>"El ecosistema actual empuja el consumo no saludable. La palanca más efectiva a largo plazo es formar a los compradores del futuro."</w:t>
      </w:r>
    </w:p>
    <w:p>
      <w:pPr>
        <w:spacing w:before="20" w:after="80"/>
      </w:pPr>
      <w:r>
        <w:rPr>
          <w:rFonts w:ascii="Calibri" w:hAnsi="Calibri"/>
          <w:sz w:val="21"/>
        </w:rPr>
        <w:t>Esta cita resume en dos líneas los 4 actos enteros. La primera línea es el diagnóstico (lo que encontraron los datos). La segunda es la prescripción (lo que propone el proyecto).</w:t>
      </w:r>
    </w:p>
    <w:p>
      <w:pPr>
        <w:spacing w:before="120" w:after="20"/>
      </w:pPr>
      <w:r>
        <w:rPr>
          <w:rFonts w:ascii="Consolas" w:hAnsi="Consolas"/>
          <w:b/>
          <w:color w:val="B8862A"/>
          <w:sz w:val="16"/>
        </w:rPr>
        <w:t>¿POR QUÉ EL FONDO NEGRO IGUAL QUE LA PORTADA?</w:t>
      </w:r>
    </w:p>
    <w:p>
      <w:pPr>
        <w:spacing w:before="20" w:after="80"/>
      </w:pPr>
      <w:r>
        <w:rPr>
          <w:rFonts w:ascii="Calibri" w:hAnsi="Calibri"/>
          <w:sz w:val="21"/>
        </w:rPr>
        <w:t>Cierre en arco narrativo. Volver al mismo diseño visual de la portada comunica que la historia está completa — que se llegó al mismo punto desde donde se salió, pero con todo el argumento construido en el medio.</w:t>
      </w:r>
    </w:p>
    <w:p>
      <w:pPr>
        <w:spacing w:before="120" w:after="20"/>
      </w:pPr>
      <w:r>
        <w:rPr>
          <w:rFonts w:ascii="Consolas" w:hAnsi="Consolas"/>
          <w:b/>
          <w:color w:val="B8862A"/>
          <w:sz w:val="16"/>
        </w:rPr>
        <w:t>¿QUÉ HACE FERNANDA AQUÍ?</w:t>
      </w:r>
    </w:p>
    <w:p>
      <w:pPr>
        <w:spacing w:before="20" w:after="80"/>
      </w:pPr>
      <w:r>
        <w:rPr>
          <w:rFonts w:ascii="Calibri" w:hAnsi="Calibri"/>
          <w:sz w:val="21"/>
        </w:rPr>
        <w:t>Pausa antes de la última línea. Mirar al jurado. Decir 'Está en las aulas' y no agregar nada más. El silencio es intencional — es más poderoso que añadir más palabras.</w:t>
      </w:r>
    </w:p>
    <w:p>
      <w:pPr>
        <w:spacing w:before="40" w:after="40"/>
        <w:pBdr>
          <w:bottom w:val="single" w:sz="6" w:space="1" w:color="1A1612"/>
        </w:pBdr>
      </w:pPr>
    </w:p>
    <w:p>
      <w:pPr>
        <w:spacing w:before="240"/>
      </w:pPr>
      <w:r>
        <w:rPr>
          <w:rFonts w:ascii="Consolas" w:hAnsi="Consolas"/>
          <w:b/>
          <w:color w:val="B8332A"/>
          <w:sz w:val="18"/>
        </w:rPr>
        <w:t>REFERENCIA RÁPIDA — NÚMEROS QUE NO SE OLVIDAN</w:t>
      </w:r>
    </w:p>
    <w:p>
      <w:pPr>
        <w:spacing w:before="40" w:after="40"/>
        <w:ind w:left="283"/>
      </w:pPr>
      <w:r>
        <w:rPr>
          <w:rFonts w:ascii="Calibri" w:hAnsi="Calibri"/>
          <w:b/>
          <w:color w:val="7A7368"/>
          <w:sz w:val="26"/>
        </w:rPr>
        <w:t xml:space="preserve">R² = 0.032  </w:t>
      </w:r>
      <w:r>
        <w:rPr>
          <w:rFonts w:ascii="Calibri" w:hAnsi="Calibri"/>
          <w:color w:val="1A1612"/>
          <w:sz w:val="21"/>
        </w:rPr>
        <w:t>la regresión lineal no explica el comportamiento de compra</w:t>
      </w:r>
    </w:p>
    <w:p>
      <w:pPr>
        <w:spacing w:before="40" w:after="40"/>
        <w:ind w:left="283"/>
      </w:pPr>
      <w:r>
        <w:rPr>
          <w:rFonts w:ascii="Calibri" w:hAnsi="Calibri"/>
          <w:b/>
          <w:color w:val="7A7368"/>
          <w:sz w:val="26"/>
        </w:rPr>
        <w:t xml:space="preserve">AUC = 0.55  </w:t>
      </w:r>
      <w:r>
        <w:rPr>
          <w:rFonts w:ascii="Calibri" w:hAnsi="Calibri"/>
          <w:color w:val="1A1612"/>
          <w:sz w:val="21"/>
        </w:rPr>
        <w:t>el Random Forest apenas supera el azar — el problema no es individual</w:t>
      </w:r>
    </w:p>
    <w:p>
      <w:pPr>
        <w:spacing w:before="40" w:after="40"/>
        <w:ind w:left="283"/>
      </w:pPr>
      <w:r>
        <w:rPr>
          <w:rFonts w:ascii="Calibri" w:hAnsi="Calibri"/>
          <w:b/>
          <w:color w:val="B8332A"/>
          <w:sz w:val="26"/>
        </w:rPr>
        <w:t xml:space="preserve">60.8%  </w:t>
      </w:r>
      <w:r>
        <w:rPr>
          <w:rFonts w:ascii="Calibri" w:hAnsi="Calibri"/>
          <w:color w:val="1A1612"/>
          <w:sz w:val="21"/>
        </w:rPr>
        <w:t>de compradores lleva al menos 1 producto no saludable</w:t>
      </w:r>
    </w:p>
    <w:p>
      <w:pPr>
        <w:spacing w:before="40" w:after="40"/>
        <w:ind w:left="283"/>
      </w:pPr>
      <w:r>
        <w:rPr>
          <w:rFonts w:ascii="Calibri" w:hAnsi="Calibri"/>
          <w:b/>
          <w:color w:val="B8332A"/>
          <w:sz w:val="26"/>
        </w:rPr>
        <w:t xml:space="preserve">50.3%  </w:t>
      </w:r>
      <w:r>
        <w:rPr>
          <w:rFonts w:ascii="Calibri" w:hAnsi="Calibri"/>
          <w:color w:val="1A1612"/>
          <w:sz w:val="21"/>
        </w:rPr>
        <w:t>lleva SOLO no saludable</w:t>
      </w:r>
    </w:p>
    <w:p>
      <w:pPr>
        <w:spacing w:before="40" w:after="40"/>
        <w:ind w:left="283"/>
      </w:pPr>
      <w:r>
        <w:rPr>
          <w:rFonts w:ascii="Calibri" w:hAnsi="Calibri"/>
          <w:b/>
          <w:color w:val="2D5E3E"/>
          <w:sz w:val="26"/>
        </w:rPr>
        <w:t xml:space="preserve">23.7%  </w:t>
      </w:r>
      <w:r>
        <w:rPr>
          <w:rFonts w:ascii="Calibri" w:hAnsi="Calibri"/>
          <w:color w:val="1A1612"/>
          <w:sz w:val="21"/>
        </w:rPr>
        <w:t>lleva algo saludable</w:t>
      </w:r>
    </w:p>
    <w:p>
      <w:pPr>
        <w:spacing w:before="40" w:after="40"/>
        <w:ind w:left="283"/>
      </w:pPr>
      <w:r>
        <w:rPr>
          <w:rFonts w:ascii="Calibri" w:hAnsi="Calibri"/>
          <w:b/>
          <w:color w:val="7A7368"/>
          <w:sz w:val="26"/>
        </w:rPr>
        <w:t xml:space="preserve">66%  </w:t>
      </w:r>
      <w:r>
        <w:rPr>
          <w:rFonts w:ascii="Calibri" w:hAnsi="Calibri"/>
          <w:color w:val="1A1612"/>
          <w:sz w:val="21"/>
        </w:rPr>
        <w:t>de entregas de última milla sin oferta sana</w:t>
      </w:r>
    </w:p>
    <w:p>
      <w:pPr>
        <w:spacing w:before="40" w:after="40"/>
        <w:ind w:left="283"/>
      </w:pPr>
      <w:r>
        <w:rPr>
          <w:rFonts w:ascii="Calibri" w:hAnsi="Calibri"/>
          <w:b/>
          <w:color w:val="B8332A"/>
          <w:sz w:val="26"/>
        </w:rPr>
        <w:t xml:space="preserve">39.1 pp  </w:t>
      </w:r>
      <w:r>
        <w:rPr>
          <w:rFonts w:ascii="Calibri" w:hAnsi="Calibri"/>
          <w:color w:val="1A1612"/>
          <w:sz w:val="21"/>
        </w:rPr>
        <w:t>brecha intención-acción (63% querría comprar sano vs 24% que lo hace)</w:t>
      </w:r>
    </w:p>
    <w:p>
      <w:pPr>
        <w:spacing w:before="40" w:after="40"/>
        <w:ind w:left="283"/>
      </w:pPr>
      <w:r>
        <w:rPr>
          <w:rFonts w:ascii="Calibri" w:hAnsi="Calibri"/>
          <w:b/>
          <w:color w:val="B8862A"/>
          <w:sz w:val="26"/>
        </w:rPr>
        <w:t xml:space="preserve">80 / 94  </w:t>
      </w:r>
      <w:r>
        <w:rPr>
          <w:rFonts w:ascii="Calibri" w:hAnsi="Calibri"/>
          <w:color w:val="1A1612"/>
          <w:sz w:val="21"/>
        </w:rPr>
        <w:t>encuestados cambiarían sus hábitos con más tiempo o recursos</w:t>
      </w:r>
    </w:p>
    <w:p>
      <w:pPr>
        <w:spacing w:before="40" w:after="40"/>
        <w:ind w:left="283"/>
      </w:pPr>
      <w:r>
        <w:rPr>
          <w:rFonts w:ascii="Calibri" w:hAnsi="Calibri"/>
          <w:b/>
          <w:color w:val="2D5E3E"/>
          <w:sz w:val="26"/>
        </w:rPr>
        <w:t xml:space="preserve">−5.7 pp  </w:t>
      </w:r>
      <w:r>
        <w:rPr>
          <w:rFonts w:ascii="Calibri" w:hAnsi="Calibri"/>
          <w:color w:val="1A1612"/>
          <w:sz w:val="21"/>
        </w:rPr>
        <w:t>reducción de obesidad en escenario central a 5 años (Monte Carlo)</w:t>
      </w:r>
    </w:p>
    <w:p>
      <w:pPr>
        <w:spacing w:before="40" w:after="40"/>
        <w:ind w:left="283"/>
      </w:pPr>
      <w:r>
        <w:rPr>
          <w:rFonts w:ascii="Calibri" w:hAnsi="Calibri"/>
          <w:b/>
          <w:color w:val="B8862A"/>
          <w:sz w:val="26"/>
        </w:rPr>
        <w:t xml:space="preserve">$9,500 MXN  </w:t>
      </w:r>
      <w:r>
        <w:rPr>
          <w:rFonts w:ascii="Calibri" w:hAnsi="Calibri"/>
          <w:color w:val="1A1612"/>
          <w:sz w:val="21"/>
        </w:rPr>
        <w:t>costo estimado por escuela por año</w:t>
      </w:r>
    </w:p>
    <w:p>
      <w:pPr>
        <w:spacing w:before="40" w:after="40"/>
        <w:pBdr>
          <w:bottom w:val="single" w:sz="6" w:space="1" w:color="1A1612"/>
        </w:pBdr>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6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