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7720C" w14:textId="77777777" w:rsidR="003C189C" w:rsidRDefault="00E94F63">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¿Alta tasa de suicidios en países con mejores niveles de calidad de vida? Análisis de regresión lineal múltiple aplicado al ranking internacional de felicidad de la ONU año 2005-2010.</w:t>
      </w:r>
    </w:p>
    <w:p w14:paraId="7DCF0255" w14:textId="77777777" w:rsidR="003C189C" w:rsidRDefault="003C189C">
      <w:pPr>
        <w:rPr>
          <w:b/>
        </w:rPr>
      </w:pPr>
    </w:p>
    <w:p w14:paraId="09997E21" w14:textId="77777777" w:rsidR="003C189C" w:rsidRDefault="00E94F63">
      <w:pPr>
        <w:jc w:val="center"/>
        <w:rPr>
          <w:b/>
        </w:rPr>
      </w:pPr>
      <w:r>
        <w:rPr>
          <w:b/>
        </w:rPr>
        <w:t>Diego Alexander Torres</w:t>
      </w:r>
    </w:p>
    <w:p w14:paraId="60886638" w14:textId="77777777" w:rsidR="003C189C" w:rsidRDefault="00E94F63">
      <w:pPr>
        <w:jc w:val="center"/>
        <w:rPr>
          <w:rFonts w:ascii="Times New Roman" w:eastAsia="Times New Roman" w:hAnsi="Times New Roman" w:cs="Times New Roman"/>
          <w:b/>
          <w:sz w:val="24"/>
          <w:szCs w:val="24"/>
        </w:rPr>
      </w:pPr>
      <w:proofErr w:type="spellStart"/>
      <w:r>
        <w:rPr>
          <w:b/>
        </w:rPr>
        <w:t>Jhon</w:t>
      </w:r>
      <w:proofErr w:type="spellEnd"/>
      <w:r>
        <w:rPr>
          <w:b/>
        </w:rPr>
        <w:t xml:space="preserve"> Fonseca</w:t>
      </w:r>
      <w:r>
        <w:rPr>
          <w:rFonts w:ascii="Times New Roman" w:eastAsia="Times New Roman" w:hAnsi="Times New Roman" w:cs="Times New Roman"/>
          <w:b/>
          <w:sz w:val="24"/>
          <w:szCs w:val="24"/>
        </w:rPr>
        <w:t xml:space="preserve"> </w:t>
      </w:r>
    </w:p>
    <w:p w14:paraId="6BC64EF4" w14:textId="77777777" w:rsidR="003C189C" w:rsidRDefault="00E94F63">
      <w:pPr>
        <w:spacing w:before="240" w:after="24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Abstract</w:t>
      </w:r>
      <w:proofErr w:type="spellEnd"/>
    </w:p>
    <w:p w14:paraId="31CFD3F6" w14:textId="77777777" w:rsidR="003C189C" w:rsidRDefault="00E94F63">
      <w:pPr>
        <w:spacing w:after="160"/>
        <w:ind w:right="360"/>
        <w:jc w:val="both"/>
        <w:rPr>
          <w:rFonts w:ascii="Times New Roman" w:eastAsia="Times New Roman" w:hAnsi="Times New Roman" w:cs="Times New Roman"/>
          <w:b/>
          <w:i/>
        </w:rPr>
      </w:pPr>
      <w:r>
        <w:rPr>
          <w:rFonts w:ascii="Times New Roman" w:eastAsia="Times New Roman" w:hAnsi="Times New Roman" w:cs="Times New Roman"/>
          <w:b/>
          <w:i/>
        </w:rPr>
        <w:t xml:space="preserve">El artículo propone el caso hipotético de la existencia de un número significativo de suicidios en países con alto nivel de felicidad según los rankings anuales de las Naciones Unidas (ONU). Para lo anterior, se hizo seguimiento de las variables usadas por la ONU para la realización de dichos rankings, en donde se encuentran indicadores tales como el PIB per </w:t>
      </w:r>
      <w:proofErr w:type="spellStart"/>
      <w:r>
        <w:rPr>
          <w:rFonts w:ascii="Times New Roman" w:eastAsia="Times New Roman" w:hAnsi="Times New Roman" w:cs="Times New Roman"/>
          <w:b/>
          <w:i/>
        </w:rPr>
        <w:t>Capita</w:t>
      </w:r>
      <w:proofErr w:type="spellEnd"/>
      <w:r>
        <w:rPr>
          <w:rFonts w:ascii="Times New Roman" w:eastAsia="Times New Roman" w:hAnsi="Times New Roman" w:cs="Times New Roman"/>
          <w:b/>
          <w:i/>
        </w:rPr>
        <w:t>, la confianza en las instituciones gubernamentales ante la corrupción, la expectativa de vida, la generosidad, las relaciones familiares, etc. En este orden de ideas, se propuso como objetivo principal el determinar un modelo de regresión múltiple adecuado que se ajuste a la predicción del número de suicidios por país a partir de promediar cifras entre los años 2005 y 2010. Los resultados en principio arrojan que el número de suicidios es altamente dependiente del tamaño de la población, por lo que se indica que se mantiene una proporción, mientras que el puntaje de felicidad no parece afectar significativamente el caso.</w:t>
      </w:r>
    </w:p>
    <w:p w14:paraId="0D035ECF" w14:textId="77777777" w:rsidR="003C189C" w:rsidRDefault="00E94F63">
      <w:pPr>
        <w:rPr>
          <w:b/>
        </w:rPr>
      </w:pPr>
      <w:r>
        <w:rPr>
          <w:b/>
        </w:rPr>
        <w:t>Introducción</w:t>
      </w:r>
    </w:p>
    <w:p w14:paraId="5558E7E4" w14:textId="77777777" w:rsidR="003C189C" w:rsidRDefault="003C189C">
      <w:pPr>
        <w:rPr>
          <w:b/>
        </w:rPr>
      </w:pPr>
    </w:p>
    <w:p w14:paraId="4EC4F49D" w14:textId="77777777" w:rsidR="003C189C" w:rsidRDefault="00E94F63">
      <w:pPr>
        <w:jc w:val="both"/>
      </w:pPr>
      <w:r>
        <w:t xml:space="preserve">¿Quién no ha oído hablar de los famosos casos de suicidios sistemáticos en Japón en los últimos años? bueno, la realidad es que los datos no mienten. La nación nipona ocupa el puesto 12 entre las naciones con más tasa de suicidios por cada 100.000 habitantes, una cifra realmente alarmante. Pero la verdadera pregunta es ¿por qué una nación tan desarrollada y organizada se encuentra en la “lista negra” de los países con más suicidios en el mundo? ¿son realmente felices los países que presentan tan altos valores en esta problemática social? ¿es Japón un caso excepcional? ¿o existen más casos </w:t>
      </w:r>
      <w:r w:rsidR="00DD53CF">
        <w:t>similares?</w:t>
      </w:r>
      <w:r>
        <w:t xml:space="preserve"> </w:t>
      </w:r>
    </w:p>
    <w:p w14:paraId="74E8FC41" w14:textId="77777777" w:rsidR="003C189C" w:rsidRDefault="003C189C">
      <w:pPr>
        <w:jc w:val="both"/>
      </w:pPr>
    </w:p>
    <w:p w14:paraId="292245EC" w14:textId="4935C8B5" w:rsidR="003C189C" w:rsidRDefault="00E94F63">
      <w:pPr>
        <w:jc w:val="both"/>
      </w:pPr>
      <w:r>
        <w:t xml:space="preserve">Dentro del ranking anual de los países más felices del mundo, se evidencia </w:t>
      </w:r>
      <w:r w:rsidR="00DD53CF">
        <w:t>que,</w:t>
      </w:r>
      <w:r>
        <w:t xml:space="preserve"> en casi todos los casos, cinco países suelen “repetir podio”. Entre estos tenemos a Suiza y a los gigantes escandinavos Islandia, Dinamarca, Noruega y Finlandia; en ocasiones, Suecia y Canadá entran a competir por el anhelado primer lugar</w:t>
      </w:r>
      <w:r w:rsidR="001360CE">
        <w:t xml:space="preserve"> (Organización de las Naciones Unidas)</w:t>
      </w:r>
      <w:r>
        <w:t xml:space="preserve">. El ranking es elaborado a partir de ciertos parámetros continuos que evalúan características como el PIB per </w:t>
      </w:r>
      <w:r w:rsidR="00DD53CF">
        <w:t>cápita</w:t>
      </w:r>
      <w:r>
        <w:t>, la expectativa de vida, la libertad en la toma de decisiones, la influencia de la familia, la generosidad de los habitantes, la percepción de la corrupción, etc. Las variables numéricas anteriormente nombradas vendrán siendo las predictoras del promedio de suicidios por país junto a otras como la población total del país.</w:t>
      </w:r>
    </w:p>
    <w:p w14:paraId="22E12F66" w14:textId="77777777" w:rsidR="003C189C" w:rsidRDefault="003C189C">
      <w:pPr>
        <w:jc w:val="both"/>
      </w:pPr>
    </w:p>
    <w:p w14:paraId="33E42C87" w14:textId="77777777" w:rsidR="003C189C" w:rsidRDefault="00E94F63">
      <w:pPr>
        <w:jc w:val="both"/>
        <w:rPr>
          <w:b/>
        </w:rPr>
      </w:pPr>
      <w:r>
        <w:rPr>
          <w:b/>
        </w:rPr>
        <w:t>Marco Teórico</w:t>
      </w:r>
    </w:p>
    <w:p w14:paraId="538D1407" w14:textId="77777777" w:rsidR="003C189C" w:rsidRDefault="003C189C">
      <w:pPr>
        <w:jc w:val="both"/>
      </w:pPr>
    </w:p>
    <w:p w14:paraId="66463A57" w14:textId="0824AC3A" w:rsidR="003C189C" w:rsidRDefault="00E94F63">
      <w:pPr>
        <w:jc w:val="both"/>
        <w:rPr>
          <w:highlight w:val="white"/>
        </w:rPr>
      </w:pPr>
      <w:r>
        <w:rPr>
          <w:highlight w:val="white"/>
        </w:rPr>
        <w:t xml:space="preserve">Los estudios sobre el suicidio son tratados como epidemiológicos y son numerosos, pues se reconoce como un problema destacado de salud pública a nivel mundial. La Organización Mundial de la Salud (OMS) afirma que cerca de 800.000 personas mueren anualmente por suicidio en el mundo, siendo los jóvenes entre 15 y 24 años la población más vulnerable a </w:t>
      </w:r>
      <w:r>
        <w:rPr>
          <w:highlight w:val="white"/>
        </w:rPr>
        <w:lastRenderedPageBreak/>
        <w:t>este fenómeno, pues viene siendo el segundo motivo de muerte en estas edades. Según la OMS (2016), los países de ingresos bajos y medios de las Américas están entre las regiones con las tasas de suicidio más bajas, aunque esta misma observación no se observa en otros países de bajos ingresos como los indo</w:t>
      </w:r>
      <w:r w:rsidR="00DD53CF">
        <w:rPr>
          <w:highlight w:val="white"/>
        </w:rPr>
        <w:t>-asiáticos</w:t>
      </w:r>
      <w:r>
        <w:rPr>
          <w:highlight w:val="white"/>
        </w:rPr>
        <w:t xml:space="preserve"> o en África. </w:t>
      </w:r>
      <w:r w:rsidR="00221209">
        <w:rPr>
          <w:highlight w:val="white"/>
        </w:rPr>
        <w:t xml:space="preserve">Según </w:t>
      </w:r>
      <w:proofErr w:type="spellStart"/>
      <w:r w:rsidR="00221209">
        <w:rPr>
          <w:color w:val="333333"/>
          <w:highlight w:val="white"/>
        </w:rPr>
        <w:t>Kõlves</w:t>
      </w:r>
      <w:proofErr w:type="spellEnd"/>
      <w:r w:rsidR="00221209">
        <w:rPr>
          <w:color w:val="333333"/>
          <w:highlight w:val="white"/>
        </w:rPr>
        <w:t xml:space="preserve"> y De Leo (2014), e</w:t>
      </w:r>
      <w:r>
        <w:rPr>
          <w:highlight w:val="white"/>
        </w:rPr>
        <w:t xml:space="preserve">ntre los motivos del suicidio en jóvenes están los drásticos cambios políticos y económicos en las últimas décadas y en diferentes partes del mundo, además de los conflictos familiares, los contextos de violencia, los abusos sexuales y, en menor grado, los trastornos psicológicos y los factores culturales </w:t>
      </w:r>
    </w:p>
    <w:p w14:paraId="2F3907BA" w14:textId="77777777" w:rsidR="003C189C" w:rsidRDefault="003C189C">
      <w:pPr>
        <w:jc w:val="both"/>
        <w:rPr>
          <w:highlight w:val="white"/>
        </w:rPr>
      </w:pPr>
    </w:p>
    <w:p w14:paraId="39EA4888" w14:textId="6DD86EC8" w:rsidR="003C189C" w:rsidRDefault="00E94F63">
      <w:pPr>
        <w:jc w:val="both"/>
        <w:rPr>
          <w:highlight w:val="white"/>
        </w:rPr>
      </w:pPr>
      <w:r>
        <w:rPr>
          <w:highlight w:val="white"/>
        </w:rPr>
        <w:t xml:space="preserve">Sin embargo, realizar un análisis de todos los factores de riesgo para el suicidio requiere de una investigación exhaustiva, por lo que se enfoca en factores relacionados con el sexo, específicamente en la </w:t>
      </w:r>
      <w:r>
        <w:rPr>
          <w:i/>
          <w:highlight w:val="white"/>
        </w:rPr>
        <w:t xml:space="preserve">paradoja del género del suicidio </w:t>
      </w:r>
      <w:r>
        <w:rPr>
          <w:highlight w:val="white"/>
        </w:rPr>
        <w:t>(</w:t>
      </w:r>
      <w:proofErr w:type="spellStart"/>
      <w:r>
        <w:rPr>
          <w:highlight w:val="white"/>
        </w:rPr>
        <w:t>Schrijvers</w:t>
      </w:r>
      <w:proofErr w:type="spellEnd"/>
      <w:r>
        <w:rPr>
          <w:highlight w:val="white"/>
        </w:rPr>
        <w:t xml:space="preserve">, Bollen y </w:t>
      </w:r>
      <w:proofErr w:type="spellStart"/>
      <w:r>
        <w:rPr>
          <w:highlight w:val="white"/>
        </w:rPr>
        <w:t>Sabbe</w:t>
      </w:r>
      <w:proofErr w:type="spellEnd"/>
      <w:r>
        <w:rPr>
          <w:highlight w:val="white"/>
        </w:rPr>
        <w:t xml:space="preserve"> BG</w:t>
      </w:r>
      <w:r w:rsidR="00965F7C">
        <w:rPr>
          <w:highlight w:val="white"/>
        </w:rPr>
        <w:t xml:space="preserve">, </w:t>
      </w:r>
      <w:r>
        <w:rPr>
          <w:highlight w:val="white"/>
        </w:rPr>
        <w:t>2012)</w:t>
      </w:r>
      <w:r>
        <w:rPr>
          <w:i/>
          <w:highlight w:val="white"/>
        </w:rPr>
        <w:t xml:space="preserve">. </w:t>
      </w:r>
      <w:r>
        <w:rPr>
          <w:highlight w:val="white"/>
        </w:rPr>
        <w:t xml:space="preserve">Según Payne S, </w:t>
      </w:r>
      <w:proofErr w:type="spellStart"/>
      <w:r>
        <w:rPr>
          <w:highlight w:val="white"/>
        </w:rPr>
        <w:t>Swami</w:t>
      </w:r>
      <w:proofErr w:type="spellEnd"/>
      <w:r>
        <w:rPr>
          <w:highlight w:val="white"/>
        </w:rPr>
        <w:t xml:space="preserve"> y </w:t>
      </w:r>
      <w:proofErr w:type="spellStart"/>
      <w:r>
        <w:rPr>
          <w:highlight w:val="white"/>
        </w:rPr>
        <w:t>Stanistreet</w:t>
      </w:r>
      <w:proofErr w:type="spellEnd"/>
      <w:r>
        <w:rPr>
          <w:highlight w:val="white"/>
        </w:rPr>
        <w:t xml:space="preserve"> (2007), en países de altos ingresos, la tasa de suicidios consumados para los hombres es tres veces más alta que la de las mujeres (3:1), mientras que en países de ingresos medios y bajos la razón es menor (1,5:1)</w:t>
      </w:r>
      <w:r w:rsidR="00207F51">
        <w:rPr>
          <w:highlight w:val="white"/>
        </w:rPr>
        <w:t xml:space="preserve"> (Payne, </w:t>
      </w:r>
      <w:proofErr w:type="spellStart"/>
      <w:r w:rsidR="00207F51">
        <w:rPr>
          <w:highlight w:val="white"/>
        </w:rPr>
        <w:t>Swami</w:t>
      </w:r>
      <w:proofErr w:type="spellEnd"/>
      <w:r w:rsidR="00207F51">
        <w:rPr>
          <w:highlight w:val="white"/>
        </w:rPr>
        <w:t xml:space="preserve"> y </w:t>
      </w:r>
      <w:proofErr w:type="spellStart"/>
      <w:r w:rsidR="00207F51">
        <w:rPr>
          <w:highlight w:val="white"/>
        </w:rPr>
        <w:t>Stanistreet</w:t>
      </w:r>
      <w:proofErr w:type="spellEnd"/>
      <w:r w:rsidR="00965F7C">
        <w:rPr>
          <w:highlight w:val="white"/>
        </w:rPr>
        <w:t xml:space="preserve">, </w:t>
      </w:r>
      <w:r w:rsidR="00207F51">
        <w:rPr>
          <w:highlight w:val="white"/>
        </w:rPr>
        <w:t>2007)</w:t>
      </w:r>
      <w:r>
        <w:rPr>
          <w:highlight w:val="white"/>
        </w:rPr>
        <w:t>.</w:t>
      </w:r>
    </w:p>
    <w:p w14:paraId="6BED5AB3" w14:textId="77777777" w:rsidR="003C189C" w:rsidRDefault="003C189C">
      <w:pPr>
        <w:jc w:val="both"/>
        <w:rPr>
          <w:b/>
        </w:rPr>
      </w:pPr>
    </w:p>
    <w:p w14:paraId="0BBD884E" w14:textId="77777777" w:rsidR="003C189C" w:rsidRDefault="00E94F63">
      <w:pPr>
        <w:jc w:val="both"/>
        <w:rPr>
          <w:b/>
        </w:rPr>
      </w:pPr>
      <w:r>
        <w:rPr>
          <w:b/>
        </w:rPr>
        <w:t>Metodología</w:t>
      </w:r>
    </w:p>
    <w:p w14:paraId="0122D4CF" w14:textId="77777777" w:rsidR="003C189C" w:rsidRDefault="003C189C">
      <w:pPr>
        <w:jc w:val="both"/>
        <w:rPr>
          <w:b/>
        </w:rPr>
      </w:pPr>
    </w:p>
    <w:p w14:paraId="304AACB7" w14:textId="77777777" w:rsidR="003C189C" w:rsidRDefault="00E94F63">
      <w:pPr>
        <w:jc w:val="both"/>
      </w:pPr>
      <w:r>
        <w:t>Debido a que el proyecto busca encontrar una posible relación entre el número total de suicidios de un país y su calidad de vida, se optó por realizar una regresión lineal múltiple, el cual permite medir el nivel de significancia que aporta cada una de las variables predictoras a la variable dependiente suicidios y establecer así un modelo de predicción. En la tabla 1 se puede observar el diccionario de las variables que se utilizaron en el análisis.</w:t>
      </w:r>
    </w:p>
    <w:p w14:paraId="3BD0C611" w14:textId="77777777" w:rsidR="003C189C" w:rsidRDefault="003C189C">
      <w:pPr>
        <w:rPr>
          <w:b/>
        </w:rPr>
      </w:pPr>
    </w:p>
    <w:tbl>
      <w:tblPr>
        <w:tblStyle w:val="a"/>
        <w:tblW w:w="8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4"/>
        <w:gridCol w:w="5386"/>
      </w:tblGrid>
      <w:tr w:rsidR="003C189C" w14:paraId="5EC5CF9F" w14:textId="77777777" w:rsidTr="00DD53CF">
        <w:trPr>
          <w:jc w:val="center"/>
        </w:trPr>
        <w:tc>
          <w:tcPr>
            <w:tcW w:w="2684" w:type="dxa"/>
            <w:shd w:val="clear" w:color="auto" w:fill="auto"/>
            <w:tcMar>
              <w:top w:w="100" w:type="dxa"/>
              <w:left w:w="100" w:type="dxa"/>
              <w:bottom w:w="100" w:type="dxa"/>
              <w:right w:w="100" w:type="dxa"/>
            </w:tcMar>
          </w:tcPr>
          <w:p w14:paraId="534B5A7F" w14:textId="77777777" w:rsidR="003C189C" w:rsidRDefault="00E94F63">
            <w:pPr>
              <w:jc w:val="center"/>
              <w:rPr>
                <w:b/>
              </w:rPr>
            </w:pPr>
            <w:r>
              <w:rPr>
                <w:b/>
              </w:rPr>
              <w:t>Variable</w:t>
            </w:r>
          </w:p>
        </w:tc>
        <w:tc>
          <w:tcPr>
            <w:tcW w:w="5386" w:type="dxa"/>
            <w:shd w:val="clear" w:color="auto" w:fill="auto"/>
            <w:tcMar>
              <w:top w:w="100" w:type="dxa"/>
              <w:left w:w="100" w:type="dxa"/>
              <w:bottom w:w="100" w:type="dxa"/>
              <w:right w:w="100" w:type="dxa"/>
            </w:tcMar>
          </w:tcPr>
          <w:p w14:paraId="0CDB93E7" w14:textId="77777777" w:rsidR="003C189C" w:rsidRDefault="00E94F63">
            <w:pPr>
              <w:widowControl w:val="0"/>
              <w:spacing w:line="240" w:lineRule="auto"/>
              <w:jc w:val="center"/>
              <w:rPr>
                <w:b/>
              </w:rPr>
            </w:pPr>
            <w:r>
              <w:rPr>
                <w:b/>
              </w:rPr>
              <w:t>Descripción</w:t>
            </w:r>
          </w:p>
        </w:tc>
      </w:tr>
      <w:tr w:rsidR="003C189C" w14:paraId="5DC0DC6E" w14:textId="77777777" w:rsidTr="00DD53CF">
        <w:trPr>
          <w:jc w:val="center"/>
        </w:trPr>
        <w:tc>
          <w:tcPr>
            <w:tcW w:w="2684" w:type="dxa"/>
            <w:shd w:val="clear" w:color="auto" w:fill="auto"/>
            <w:tcMar>
              <w:top w:w="100" w:type="dxa"/>
              <w:left w:w="100" w:type="dxa"/>
              <w:bottom w:w="100" w:type="dxa"/>
              <w:right w:w="100" w:type="dxa"/>
            </w:tcMar>
          </w:tcPr>
          <w:p w14:paraId="65BAE445" w14:textId="77777777" w:rsidR="003C189C" w:rsidRDefault="00E94F63">
            <w:pPr>
              <w:rPr>
                <w:b/>
              </w:rPr>
            </w:pPr>
            <w:proofErr w:type="spellStart"/>
            <w:r>
              <w:rPr>
                <w:b/>
              </w:rPr>
              <w:t>suicide_prom_anual</w:t>
            </w:r>
            <w:proofErr w:type="spellEnd"/>
          </w:p>
        </w:tc>
        <w:tc>
          <w:tcPr>
            <w:tcW w:w="5386" w:type="dxa"/>
            <w:shd w:val="clear" w:color="auto" w:fill="auto"/>
            <w:tcMar>
              <w:top w:w="100" w:type="dxa"/>
              <w:left w:w="100" w:type="dxa"/>
              <w:bottom w:w="100" w:type="dxa"/>
              <w:right w:w="100" w:type="dxa"/>
            </w:tcMar>
          </w:tcPr>
          <w:p w14:paraId="4DD41F48" w14:textId="77777777" w:rsidR="003C189C" w:rsidRDefault="00E94F63">
            <w:pPr>
              <w:rPr>
                <w:b/>
              </w:rPr>
            </w:pPr>
            <w:r>
              <w:t>Promedio de suicidios por país entre 2005 y 2010.</w:t>
            </w:r>
          </w:p>
        </w:tc>
      </w:tr>
      <w:tr w:rsidR="003C189C" w14:paraId="668DC9FD" w14:textId="77777777" w:rsidTr="00DD53CF">
        <w:trPr>
          <w:jc w:val="center"/>
        </w:trPr>
        <w:tc>
          <w:tcPr>
            <w:tcW w:w="2684" w:type="dxa"/>
            <w:shd w:val="clear" w:color="auto" w:fill="auto"/>
            <w:tcMar>
              <w:top w:w="100" w:type="dxa"/>
              <w:left w:w="100" w:type="dxa"/>
              <w:bottom w:w="100" w:type="dxa"/>
              <w:right w:w="100" w:type="dxa"/>
            </w:tcMar>
          </w:tcPr>
          <w:p w14:paraId="4AD5488B" w14:textId="77777777" w:rsidR="003C189C" w:rsidRDefault="00E94F63">
            <w:pPr>
              <w:rPr>
                <w:b/>
              </w:rPr>
            </w:pPr>
            <w:r>
              <w:rPr>
                <w:b/>
              </w:rPr>
              <w:t>country</w:t>
            </w:r>
          </w:p>
        </w:tc>
        <w:tc>
          <w:tcPr>
            <w:tcW w:w="5386" w:type="dxa"/>
            <w:shd w:val="clear" w:color="auto" w:fill="auto"/>
            <w:tcMar>
              <w:top w:w="100" w:type="dxa"/>
              <w:left w:w="100" w:type="dxa"/>
              <w:bottom w:w="100" w:type="dxa"/>
              <w:right w:w="100" w:type="dxa"/>
            </w:tcMar>
          </w:tcPr>
          <w:p w14:paraId="734CDB81" w14:textId="77777777" w:rsidR="003C189C" w:rsidRDefault="00E94F63">
            <w:pPr>
              <w:rPr>
                <w:b/>
              </w:rPr>
            </w:pPr>
            <w:r>
              <w:t>Listado de países.</w:t>
            </w:r>
          </w:p>
        </w:tc>
      </w:tr>
      <w:tr w:rsidR="003C189C" w14:paraId="69AC5B42" w14:textId="77777777" w:rsidTr="00DD53CF">
        <w:trPr>
          <w:jc w:val="center"/>
        </w:trPr>
        <w:tc>
          <w:tcPr>
            <w:tcW w:w="2684" w:type="dxa"/>
            <w:shd w:val="clear" w:color="auto" w:fill="auto"/>
            <w:tcMar>
              <w:top w:w="100" w:type="dxa"/>
              <w:left w:w="100" w:type="dxa"/>
              <w:bottom w:w="100" w:type="dxa"/>
              <w:right w:w="100" w:type="dxa"/>
            </w:tcMar>
          </w:tcPr>
          <w:p w14:paraId="688ADEED" w14:textId="77777777" w:rsidR="003C189C" w:rsidRDefault="00E94F63">
            <w:pPr>
              <w:rPr>
                <w:b/>
              </w:rPr>
            </w:pPr>
            <w:proofErr w:type="spellStart"/>
            <w:r>
              <w:rPr>
                <w:b/>
              </w:rPr>
              <w:t>GDPperCap</w:t>
            </w:r>
            <w:proofErr w:type="spellEnd"/>
          </w:p>
        </w:tc>
        <w:tc>
          <w:tcPr>
            <w:tcW w:w="5386" w:type="dxa"/>
            <w:shd w:val="clear" w:color="auto" w:fill="auto"/>
            <w:tcMar>
              <w:top w:w="100" w:type="dxa"/>
              <w:left w:w="100" w:type="dxa"/>
              <w:bottom w:w="100" w:type="dxa"/>
              <w:right w:w="100" w:type="dxa"/>
            </w:tcMar>
          </w:tcPr>
          <w:p w14:paraId="32971924" w14:textId="77777777" w:rsidR="003C189C" w:rsidRDefault="00E94F63">
            <w:pPr>
              <w:rPr>
                <w:b/>
              </w:rPr>
            </w:pPr>
            <w:r>
              <w:rPr>
                <w:color w:val="222222"/>
                <w:sz w:val="24"/>
                <w:szCs w:val="24"/>
                <w:highlight w:val="white"/>
              </w:rPr>
              <w:t>PIB per cápita, indicador económico que mide la relación existente entre el nivel de renta de un país y su población.</w:t>
            </w:r>
          </w:p>
        </w:tc>
      </w:tr>
      <w:tr w:rsidR="003C189C" w14:paraId="7A022B0F" w14:textId="77777777" w:rsidTr="00DD53CF">
        <w:trPr>
          <w:jc w:val="center"/>
        </w:trPr>
        <w:tc>
          <w:tcPr>
            <w:tcW w:w="2684" w:type="dxa"/>
            <w:shd w:val="clear" w:color="auto" w:fill="auto"/>
            <w:tcMar>
              <w:top w:w="100" w:type="dxa"/>
              <w:left w:w="100" w:type="dxa"/>
              <w:bottom w:w="100" w:type="dxa"/>
              <w:right w:w="100" w:type="dxa"/>
            </w:tcMar>
          </w:tcPr>
          <w:p w14:paraId="1435E35F" w14:textId="77777777" w:rsidR="003C189C" w:rsidRDefault="00E94F63">
            <w:pPr>
              <w:rPr>
                <w:b/>
              </w:rPr>
            </w:pPr>
            <w:proofErr w:type="spellStart"/>
            <w:r>
              <w:rPr>
                <w:b/>
              </w:rPr>
              <w:t>HappinessScore</w:t>
            </w:r>
            <w:proofErr w:type="spellEnd"/>
          </w:p>
        </w:tc>
        <w:tc>
          <w:tcPr>
            <w:tcW w:w="5386" w:type="dxa"/>
            <w:shd w:val="clear" w:color="auto" w:fill="auto"/>
            <w:tcMar>
              <w:top w:w="100" w:type="dxa"/>
              <w:left w:w="100" w:type="dxa"/>
              <w:bottom w:w="100" w:type="dxa"/>
              <w:right w:w="100" w:type="dxa"/>
            </w:tcMar>
          </w:tcPr>
          <w:p w14:paraId="726078AB" w14:textId="77777777" w:rsidR="003C189C" w:rsidRDefault="00E94F63">
            <w:pPr>
              <w:rPr>
                <w:b/>
              </w:rPr>
            </w:pPr>
            <w:r>
              <w:t>Puntaje de felicidad por país.</w:t>
            </w:r>
          </w:p>
        </w:tc>
      </w:tr>
      <w:tr w:rsidR="003C189C" w14:paraId="596E6CFB" w14:textId="77777777" w:rsidTr="00DD53CF">
        <w:trPr>
          <w:jc w:val="center"/>
        </w:trPr>
        <w:tc>
          <w:tcPr>
            <w:tcW w:w="2684" w:type="dxa"/>
            <w:shd w:val="clear" w:color="auto" w:fill="auto"/>
            <w:tcMar>
              <w:top w:w="100" w:type="dxa"/>
              <w:left w:w="100" w:type="dxa"/>
              <w:bottom w:w="100" w:type="dxa"/>
              <w:right w:w="100" w:type="dxa"/>
            </w:tcMar>
          </w:tcPr>
          <w:p w14:paraId="403AD0DD" w14:textId="77777777" w:rsidR="003C189C" w:rsidRDefault="00E94F63">
            <w:pPr>
              <w:rPr>
                <w:b/>
              </w:rPr>
            </w:pPr>
            <w:proofErr w:type="spellStart"/>
            <w:r>
              <w:rPr>
                <w:b/>
              </w:rPr>
              <w:t>Family</w:t>
            </w:r>
            <w:proofErr w:type="spellEnd"/>
          </w:p>
        </w:tc>
        <w:tc>
          <w:tcPr>
            <w:tcW w:w="5386" w:type="dxa"/>
            <w:shd w:val="clear" w:color="auto" w:fill="auto"/>
            <w:tcMar>
              <w:top w:w="100" w:type="dxa"/>
              <w:left w:w="100" w:type="dxa"/>
              <w:bottom w:w="100" w:type="dxa"/>
              <w:right w:w="100" w:type="dxa"/>
            </w:tcMar>
          </w:tcPr>
          <w:p w14:paraId="2B6B9636" w14:textId="77777777" w:rsidR="003C189C" w:rsidRDefault="00E94F63">
            <w:pPr>
              <w:rPr>
                <w:b/>
              </w:rPr>
            </w:pPr>
            <w:r>
              <w:t xml:space="preserve">Puntaje Influencia familiar en felicidad por país.  </w:t>
            </w:r>
          </w:p>
        </w:tc>
      </w:tr>
      <w:tr w:rsidR="003C189C" w14:paraId="49017A32" w14:textId="77777777" w:rsidTr="00DD53CF">
        <w:trPr>
          <w:jc w:val="center"/>
        </w:trPr>
        <w:tc>
          <w:tcPr>
            <w:tcW w:w="2684" w:type="dxa"/>
            <w:shd w:val="clear" w:color="auto" w:fill="auto"/>
            <w:tcMar>
              <w:top w:w="100" w:type="dxa"/>
              <w:left w:w="100" w:type="dxa"/>
              <w:bottom w:w="100" w:type="dxa"/>
              <w:right w:w="100" w:type="dxa"/>
            </w:tcMar>
          </w:tcPr>
          <w:p w14:paraId="7C57D171" w14:textId="77777777" w:rsidR="003C189C" w:rsidRDefault="00E94F63">
            <w:pPr>
              <w:rPr>
                <w:b/>
              </w:rPr>
            </w:pPr>
            <w:proofErr w:type="spellStart"/>
            <w:r>
              <w:rPr>
                <w:b/>
              </w:rPr>
              <w:t>Health_LifeExpentancy</w:t>
            </w:r>
            <w:proofErr w:type="spellEnd"/>
          </w:p>
        </w:tc>
        <w:tc>
          <w:tcPr>
            <w:tcW w:w="5386" w:type="dxa"/>
            <w:shd w:val="clear" w:color="auto" w:fill="auto"/>
            <w:tcMar>
              <w:top w:w="100" w:type="dxa"/>
              <w:left w:w="100" w:type="dxa"/>
              <w:bottom w:w="100" w:type="dxa"/>
              <w:right w:w="100" w:type="dxa"/>
            </w:tcMar>
          </w:tcPr>
          <w:p w14:paraId="500ACA58" w14:textId="77777777" w:rsidR="003C189C" w:rsidRDefault="00E94F63">
            <w:pPr>
              <w:rPr>
                <w:b/>
              </w:rPr>
            </w:pPr>
            <w:r>
              <w:t>Expectativa de vida por país.</w:t>
            </w:r>
          </w:p>
        </w:tc>
      </w:tr>
      <w:tr w:rsidR="003C189C" w14:paraId="68473592" w14:textId="77777777" w:rsidTr="00DD53CF">
        <w:trPr>
          <w:jc w:val="center"/>
        </w:trPr>
        <w:tc>
          <w:tcPr>
            <w:tcW w:w="2684" w:type="dxa"/>
            <w:shd w:val="clear" w:color="auto" w:fill="auto"/>
            <w:tcMar>
              <w:top w:w="100" w:type="dxa"/>
              <w:left w:w="100" w:type="dxa"/>
              <w:bottom w:w="100" w:type="dxa"/>
              <w:right w:w="100" w:type="dxa"/>
            </w:tcMar>
          </w:tcPr>
          <w:p w14:paraId="58B99D0A" w14:textId="77777777" w:rsidR="003C189C" w:rsidRDefault="00E94F63">
            <w:pPr>
              <w:rPr>
                <w:b/>
              </w:rPr>
            </w:pPr>
            <w:proofErr w:type="spellStart"/>
            <w:r>
              <w:rPr>
                <w:b/>
              </w:rPr>
              <w:t>popul_prom</w:t>
            </w:r>
            <w:proofErr w:type="spellEnd"/>
          </w:p>
        </w:tc>
        <w:tc>
          <w:tcPr>
            <w:tcW w:w="5386" w:type="dxa"/>
            <w:shd w:val="clear" w:color="auto" w:fill="auto"/>
            <w:tcMar>
              <w:top w:w="100" w:type="dxa"/>
              <w:left w:w="100" w:type="dxa"/>
              <w:bottom w:w="100" w:type="dxa"/>
              <w:right w:w="100" w:type="dxa"/>
            </w:tcMar>
          </w:tcPr>
          <w:p w14:paraId="63CA7068" w14:textId="77777777" w:rsidR="003C189C" w:rsidRDefault="00E94F63">
            <w:pPr>
              <w:rPr>
                <w:b/>
              </w:rPr>
            </w:pPr>
            <w:r>
              <w:t>Promedio población por países entre 2005 y 2010.</w:t>
            </w:r>
          </w:p>
        </w:tc>
      </w:tr>
      <w:tr w:rsidR="003C189C" w14:paraId="3AA9DD1E" w14:textId="77777777" w:rsidTr="00DD53CF">
        <w:trPr>
          <w:jc w:val="center"/>
        </w:trPr>
        <w:tc>
          <w:tcPr>
            <w:tcW w:w="2684" w:type="dxa"/>
            <w:shd w:val="clear" w:color="auto" w:fill="auto"/>
            <w:tcMar>
              <w:top w:w="100" w:type="dxa"/>
              <w:left w:w="100" w:type="dxa"/>
              <w:bottom w:w="100" w:type="dxa"/>
              <w:right w:w="100" w:type="dxa"/>
            </w:tcMar>
          </w:tcPr>
          <w:p w14:paraId="0EDF228B" w14:textId="77777777" w:rsidR="003C189C" w:rsidRDefault="00E94F63">
            <w:pPr>
              <w:rPr>
                <w:b/>
              </w:rPr>
            </w:pPr>
            <w:proofErr w:type="spellStart"/>
            <w:r>
              <w:rPr>
                <w:b/>
              </w:rPr>
              <w:t>Generosity</w:t>
            </w:r>
            <w:proofErr w:type="spellEnd"/>
          </w:p>
        </w:tc>
        <w:tc>
          <w:tcPr>
            <w:tcW w:w="5386" w:type="dxa"/>
            <w:shd w:val="clear" w:color="auto" w:fill="auto"/>
            <w:tcMar>
              <w:top w:w="100" w:type="dxa"/>
              <w:left w:w="100" w:type="dxa"/>
              <w:bottom w:w="100" w:type="dxa"/>
              <w:right w:w="100" w:type="dxa"/>
            </w:tcMar>
          </w:tcPr>
          <w:p w14:paraId="213CF5AE" w14:textId="77777777" w:rsidR="003C189C" w:rsidRDefault="00E94F63">
            <w:pPr>
              <w:rPr>
                <w:b/>
              </w:rPr>
            </w:pPr>
            <w:r>
              <w:t>Puntaje influencia de generosidad en felicidad.</w:t>
            </w:r>
          </w:p>
        </w:tc>
      </w:tr>
      <w:tr w:rsidR="003C189C" w14:paraId="24D13C08" w14:textId="77777777" w:rsidTr="00DD53CF">
        <w:trPr>
          <w:jc w:val="center"/>
        </w:trPr>
        <w:tc>
          <w:tcPr>
            <w:tcW w:w="2684" w:type="dxa"/>
            <w:shd w:val="clear" w:color="auto" w:fill="auto"/>
            <w:tcMar>
              <w:top w:w="100" w:type="dxa"/>
              <w:left w:w="100" w:type="dxa"/>
              <w:bottom w:w="100" w:type="dxa"/>
              <w:right w:w="100" w:type="dxa"/>
            </w:tcMar>
          </w:tcPr>
          <w:p w14:paraId="219497A0" w14:textId="77777777" w:rsidR="003C189C" w:rsidRDefault="00E94F63">
            <w:pPr>
              <w:rPr>
                <w:b/>
              </w:rPr>
            </w:pPr>
            <w:proofErr w:type="spellStart"/>
            <w:r>
              <w:rPr>
                <w:b/>
              </w:rPr>
              <w:t>Trust_GovCorruption</w:t>
            </w:r>
            <w:proofErr w:type="spellEnd"/>
          </w:p>
        </w:tc>
        <w:tc>
          <w:tcPr>
            <w:tcW w:w="5386" w:type="dxa"/>
            <w:shd w:val="clear" w:color="auto" w:fill="auto"/>
            <w:tcMar>
              <w:top w:w="100" w:type="dxa"/>
              <w:left w:w="100" w:type="dxa"/>
              <w:bottom w:w="100" w:type="dxa"/>
              <w:right w:w="100" w:type="dxa"/>
            </w:tcMar>
          </w:tcPr>
          <w:p w14:paraId="5C8992CA" w14:textId="77777777" w:rsidR="003C189C" w:rsidRDefault="00E94F63">
            <w:pPr>
              <w:rPr>
                <w:b/>
              </w:rPr>
            </w:pPr>
            <w:r>
              <w:t>Confianza en instituciones gubernamentales contra la corrupción.</w:t>
            </w:r>
          </w:p>
        </w:tc>
      </w:tr>
      <w:tr w:rsidR="003C189C" w14:paraId="5845349B" w14:textId="77777777" w:rsidTr="00DD53CF">
        <w:trPr>
          <w:jc w:val="center"/>
        </w:trPr>
        <w:tc>
          <w:tcPr>
            <w:tcW w:w="2684" w:type="dxa"/>
            <w:shd w:val="clear" w:color="auto" w:fill="auto"/>
            <w:tcMar>
              <w:top w:w="100" w:type="dxa"/>
              <w:left w:w="100" w:type="dxa"/>
              <w:bottom w:w="100" w:type="dxa"/>
              <w:right w:w="100" w:type="dxa"/>
            </w:tcMar>
          </w:tcPr>
          <w:p w14:paraId="09F8C0EC" w14:textId="77777777" w:rsidR="003C189C" w:rsidRDefault="00E94F63">
            <w:pPr>
              <w:rPr>
                <w:b/>
              </w:rPr>
            </w:pPr>
            <w:proofErr w:type="spellStart"/>
            <w:r>
              <w:rPr>
                <w:b/>
              </w:rPr>
              <w:t>FreedomMD</w:t>
            </w:r>
            <w:proofErr w:type="spellEnd"/>
          </w:p>
        </w:tc>
        <w:tc>
          <w:tcPr>
            <w:tcW w:w="5386" w:type="dxa"/>
            <w:shd w:val="clear" w:color="auto" w:fill="auto"/>
            <w:tcMar>
              <w:top w:w="100" w:type="dxa"/>
              <w:left w:w="100" w:type="dxa"/>
              <w:bottom w:w="100" w:type="dxa"/>
              <w:right w:w="100" w:type="dxa"/>
            </w:tcMar>
          </w:tcPr>
          <w:p w14:paraId="270DD230" w14:textId="77777777" w:rsidR="003C189C" w:rsidRDefault="00E94F63" w:rsidP="00C76E5A">
            <w:pPr>
              <w:keepNext/>
            </w:pPr>
            <w:r>
              <w:t>Libertad para tomar decisiones importantes</w:t>
            </w:r>
          </w:p>
        </w:tc>
      </w:tr>
    </w:tbl>
    <w:p w14:paraId="72000ED9" w14:textId="365445B2" w:rsidR="00C76E5A" w:rsidRPr="00C76E5A" w:rsidRDefault="00C76E5A" w:rsidP="00C76E5A">
      <w:pPr>
        <w:pStyle w:val="Descripcin"/>
        <w:jc w:val="center"/>
        <w:rPr>
          <w:color w:val="auto"/>
        </w:rPr>
      </w:pPr>
      <w:r w:rsidRPr="00C76E5A">
        <w:rPr>
          <w:color w:val="auto"/>
        </w:rPr>
        <w:lastRenderedPageBreak/>
        <w:t xml:space="preserve">Tabla </w:t>
      </w:r>
      <w:r w:rsidRPr="00C76E5A">
        <w:rPr>
          <w:color w:val="auto"/>
        </w:rPr>
        <w:fldChar w:fldCharType="begin"/>
      </w:r>
      <w:r w:rsidRPr="00C76E5A">
        <w:rPr>
          <w:color w:val="auto"/>
        </w:rPr>
        <w:instrText xml:space="preserve"> SEQ Tabla \* ARABIC </w:instrText>
      </w:r>
      <w:r w:rsidRPr="00C76E5A">
        <w:rPr>
          <w:color w:val="auto"/>
        </w:rPr>
        <w:fldChar w:fldCharType="separate"/>
      </w:r>
      <w:r w:rsidR="00BF0F19">
        <w:rPr>
          <w:noProof/>
          <w:color w:val="auto"/>
        </w:rPr>
        <w:t>1</w:t>
      </w:r>
      <w:r w:rsidRPr="00C76E5A">
        <w:rPr>
          <w:color w:val="auto"/>
        </w:rPr>
        <w:fldChar w:fldCharType="end"/>
      </w:r>
      <w:r w:rsidRPr="00C76E5A">
        <w:rPr>
          <w:color w:val="auto"/>
        </w:rPr>
        <w:t>: Diccionario de variables.</w:t>
      </w:r>
    </w:p>
    <w:p w14:paraId="0746944B" w14:textId="77777777" w:rsidR="003C189C" w:rsidRDefault="00E94F63">
      <w:pPr>
        <w:jc w:val="both"/>
      </w:pPr>
      <w:r>
        <w:t xml:space="preserve">En principio, se realizó una comprobación de supuestos en la combinación de todos los posibles modelos lineales que podrían obtenerse sin éxito, por lo que se optó por una transformación de la variable dependiente. Se obtuvo el logaritmo de la variable dependiente y se generó nuevamente la comprobación de los supuestos para todos los posibles casos obteniendo resultados positivos. la función de R </w:t>
      </w:r>
      <w:proofErr w:type="gramStart"/>
      <w:r>
        <w:rPr>
          <w:b/>
        </w:rPr>
        <w:t>step(</w:t>
      </w:r>
      <w:proofErr w:type="gramEnd"/>
      <w:r>
        <w:rPr>
          <w:b/>
        </w:rPr>
        <w:t>)</w:t>
      </w:r>
      <w:r>
        <w:t>, permitió obtener el mejor modelo en cuanto al rendimiento de las variables que mejor explicaban el evento. Se obtuvieron los siguientes resultados:</w:t>
      </w:r>
    </w:p>
    <w:p w14:paraId="39B3C5A8" w14:textId="77777777" w:rsidR="003C189C" w:rsidRDefault="003C189C">
      <w:pPr>
        <w:jc w:val="both"/>
      </w:pPr>
    </w:p>
    <w:p w14:paraId="40B291A7" w14:textId="564126DA" w:rsidR="003C189C" w:rsidRPr="00A52E95" w:rsidRDefault="00AA07E3">
      <w:pPr>
        <w:rPr>
          <w:sz w:val="36"/>
        </w:rPr>
      </w:pPr>
      <m:oMathPara>
        <m:oMath>
          <m:sSub>
            <m:sSubPr>
              <m:ctrlPr>
                <w:rPr>
                  <w:rFonts w:ascii="Cambria Math" w:hAnsi="Cambria Math" w:cs="Times New Roman"/>
                  <w:i/>
                  <w:sz w:val="32"/>
                </w:rPr>
              </m:ctrlPr>
            </m:sSubPr>
            <m:e>
              <m:r>
                <w:rPr>
                  <w:rFonts w:ascii="Cambria Math" w:hAnsi="Cambria Math" w:cs="Times New Roman"/>
                  <w:sz w:val="32"/>
                </w:rPr>
                <m:t>S</m:t>
              </m:r>
            </m:e>
            <m:sub>
              <m:r>
                <w:rPr>
                  <w:rFonts w:ascii="Cambria Math" w:hAnsi="Cambria Math" w:cs="Times New Roman"/>
                  <w:sz w:val="32"/>
                </w:rPr>
                <m:t>i</m:t>
              </m:r>
            </m:sub>
          </m:sSub>
          <m:r>
            <w:rPr>
              <w:rFonts w:ascii="Cambria Math" w:hAnsi="Cambria Math" w:cs="Times New Roman"/>
              <w:sz w:val="32"/>
            </w:rPr>
            <m:t xml:space="preserve">= </m:t>
          </m:r>
          <m:sSup>
            <m:sSupPr>
              <m:ctrlPr>
                <w:rPr>
                  <w:rFonts w:ascii="Cambria Math" w:hAnsi="Cambria Math" w:cs="Times New Roman"/>
                  <w:i/>
                  <w:sz w:val="32"/>
                </w:rPr>
              </m:ctrlPr>
            </m:sSupPr>
            <m:e>
              <m:r>
                <w:rPr>
                  <w:rFonts w:ascii="Cambria Math" w:hAnsi="Cambria Math" w:cs="Times New Roman"/>
                  <w:sz w:val="32"/>
                </w:rPr>
                <m:t>10</m:t>
              </m:r>
            </m:e>
            <m:sup>
              <m:sSub>
                <m:sSubPr>
                  <m:ctrlPr>
                    <w:rPr>
                      <w:rFonts w:ascii="Cambria Math" w:hAnsi="Cambria Math" w:cs="Times New Roman"/>
                      <w:i/>
                      <w:sz w:val="32"/>
                    </w:rPr>
                  </m:ctrlPr>
                </m:sSubPr>
                <m:e>
                  <m:r>
                    <w:rPr>
                      <w:rFonts w:ascii="Cambria Math" w:hAnsi="Cambria Math" w:cs="Times New Roman"/>
                      <w:sz w:val="32"/>
                    </w:rPr>
                    <m:t>(β</m:t>
                  </m:r>
                </m:e>
                <m:sub>
                  <m:r>
                    <w:rPr>
                      <w:rFonts w:ascii="Cambria Math" w:hAnsi="Cambria Math" w:cs="Times New Roman"/>
                      <w:sz w:val="32"/>
                    </w:rPr>
                    <m:t>0</m:t>
                  </m:r>
                </m:sub>
              </m:sSub>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β</m:t>
                  </m:r>
                </m:e>
                <m:sub>
                  <m:r>
                    <w:rPr>
                      <w:rFonts w:ascii="Cambria Math" w:hAnsi="Cambria Math" w:cs="Times New Roman"/>
                      <w:sz w:val="32"/>
                    </w:rPr>
                    <m:t>1</m:t>
                  </m:r>
                </m:sub>
              </m:sSub>
              <m:sSub>
                <m:sSubPr>
                  <m:ctrlPr>
                    <w:rPr>
                      <w:rFonts w:ascii="Cambria Math" w:hAnsi="Cambria Math" w:cs="Times New Roman"/>
                      <w:i/>
                      <w:sz w:val="32"/>
                    </w:rPr>
                  </m:ctrlPr>
                </m:sSubPr>
                <m:e>
                  <m:r>
                    <w:rPr>
                      <w:rFonts w:ascii="Cambria Math" w:hAnsi="Cambria Math" w:cs="Times New Roman"/>
                      <w:sz w:val="32"/>
                    </w:rPr>
                    <m:t>Pop</m:t>
                  </m:r>
                </m:e>
                <m:sub>
                  <m:r>
                    <w:rPr>
                      <w:rFonts w:ascii="Cambria Math" w:hAnsi="Cambria Math" w:cs="Times New Roman"/>
                      <w:sz w:val="32"/>
                    </w:rPr>
                    <m:t>i</m:t>
                  </m:r>
                </m:sub>
              </m:sSub>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β</m:t>
                  </m:r>
                </m:e>
                <m:sub>
                  <m:r>
                    <w:rPr>
                      <w:rFonts w:ascii="Cambria Math" w:hAnsi="Cambria Math" w:cs="Times New Roman"/>
                      <w:sz w:val="32"/>
                    </w:rPr>
                    <m:t>2</m:t>
                  </m:r>
                </m:sub>
              </m:sSub>
              <m:sSub>
                <m:sSubPr>
                  <m:ctrlPr>
                    <w:rPr>
                      <w:rFonts w:ascii="Cambria Math" w:hAnsi="Cambria Math" w:cs="Times New Roman"/>
                      <w:i/>
                      <w:sz w:val="32"/>
                    </w:rPr>
                  </m:ctrlPr>
                </m:sSubPr>
                <m:e>
                  <m:r>
                    <w:rPr>
                      <w:rFonts w:ascii="Cambria Math" w:hAnsi="Cambria Math" w:cs="Times New Roman"/>
                      <w:sz w:val="32"/>
                    </w:rPr>
                    <m:t>HS</m:t>
                  </m:r>
                </m:e>
                <m:sub>
                  <m:r>
                    <w:rPr>
                      <w:rFonts w:ascii="Cambria Math" w:hAnsi="Cambria Math" w:cs="Times New Roman"/>
                      <w:sz w:val="32"/>
                    </w:rPr>
                    <m:t>i</m:t>
                  </m:r>
                </m:sub>
              </m:sSub>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β</m:t>
                  </m:r>
                </m:e>
                <m:sub>
                  <m:r>
                    <w:rPr>
                      <w:rFonts w:ascii="Cambria Math" w:hAnsi="Cambria Math" w:cs="Times New Roman"/>
                      <w:sz w:val="32"/>
                    </w:rPr>
                    <m:t>3</m:t>
                  </m:r>
                </m:sub>
              </m:sSub>
              <m:sSub>
                <m:sSubPr>
                  <m:ctrlPr>
                    <w:rPr>
                      <w:rFonts w:ascii="Cambria Math" w:hAnsi="Cambria Math" w:cs="Times New Roman"/>
                      <w:i/>
                      <w:sz w:val="32"/>
                    </w:rPr>
                  </m:ctrlPr>
                </m:sSubPr>
                <m:e>
                  <m:r>
                    <w:rPr>
                      <w:rFonts w:ascii="Cambria Math" w:hAnsi="Cambria Math" w:cs="Times New Roman"/>
                      <w:sz w:val="32"/>
                    </w:rPr>
                    <m:t>GDP</m:t>
                  </m:r>
                </m:e>
                <m:sub>
                  <m:r>
                    <w:rPr>
                      <w:rFonts w:ascii="Cambria Math" w:hAnsi="Cambria Math" w:cs="Times New Roman"/>
                      <w:sz w:val="32"/>
                    </w:rPr>
                    <m:t>i</m:t>
                  </m:r>
                </m:sub>
              </m:sSub>
              <m:r>
                <w:rPr>
                  <w:rFonts w:ascii="Cambria Math" w:hAnsi="Cambria Math" w:cs="Times New Roman"/>
                  <w:sz w:val="32"/>
                </w:rPr>
                <m:t xml:space="preserve"> +</m:t>
              </m:r>
              <m:sSub>
                <m:sSubPr>
                  <m:ctrlPr>
                    <w:rPr>
                      <w:rFonts w:ascii="Cambria Math" w:hAnsi="Cambria Math" w:cs="Times New Roman"/>
                      <w:i/>
                      <w:sz w:val="32"/>
                    </w:rPr>
                  </m:ctrlPr>
                </m:sSubPr>
                <m:e>
                  <m:r>
                    <w:rPr>
                      <w:rFonts w:ascii="Cambria Math" w:hAnsi="Cambria Math" w:cs="Times New Roman"/>
                      <w:sz w:val="32"/>
                    </w:rPr>
                    <m:t>β</m:t>
                  </m:r>
                </m:e>
                <m:sub>
                  <m:r>
                    <w:rPr>
                      <w:rFonts w:ascii="Cambria Math" w:hAnsi="Cambria Math" w:cs="Times New Roman"/>
                      <w:sz w:val="32"/>
                    </w:rPr>
                    <m:t>4</m:t>
                  </m:r>
                </m:sub>
              </m:sSub>
              <m:sSub>
                <m:sSubPr>
                  <m:ctrlPr>
                    <w:rPr>
                      <w:rFonts w:ascii="Cambria Math" w:hAnsi="Cambria Math" w:cs="Times New Roman"/>
                      <w:i/>
                      <w:sz w:val="32"/>
                    </w:rPr>
                  </m:ctrlPr>
                </m:sSubPr>
                <m:e>
                  <m:r>
                    <w:rPr>
                      <w:rFonts w:ascii="Cambria Math" w:hAnsi="Cambria Math" w:cs="Times New Roman"/>
                      <w:sz w:val="32"/>
                    </w:rPr>
                    <m:t>Gen</m:t>
                  </m:r>
                </m:e>
                <m:sub>
                  <m:r>
                    <w:rPr>
                      <w:rFonts w:ascii="Cambria Math" w:hAnsi="Cambria Math" w:cs="Times New Roman"/>
                      <w:sz w:val="32"/>
                    </w:rPr>
                    <m:t>i</m:t>
                  </m:r>
                </m:sub>
              </m:sSub>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β</m:t>
                  </m:r>
                </m:e>
                <m:sub>
                  <m:r>
                    <w:rPr>
                      <w:rFonts w:ascii="Cambria Math" w:hAnsi="Cambria Math" w:cs="Times New Roman"/>
                      <w:sz w:val="32"/>
                    </w:rPr>
                    <m:t>5</m:t>
                  </m:r>
                </m:sub>
              </m:sSub>
              <m:sSub>
                <m:sSubPr>
                  <m:ctrlPr>
                    <w:rPr>
                      <w:rFonts w:ascii="Cambria Math" w:hAnsi="Cambria Math" w:cs="Times New Roman"/>
                      <w:i/>
                      <w:sz w:val="32"/>
                    </w:rPr>
                  </m:ctrlPr>
                </m:sSubPr>
                <m:e>
                  <m:r>
                    <w:rPr>
                      <w:rFonts w:ascii="Cambria Math" w:hAnsi="Cambria Math" w:cs="Times New Roman"/>
                      <w:sz w:val="32"/>
                    </w:rPr>
                    <m:t>TGC</m:t>
                  </m:r>
                </m:e>
                <m:sub>
                  <m:r>
                    <w:rPr>
                      <w:rFonts w:ascii="Cambria Math" w:hAnsi="Cambria Math" w:cs="Times New Roman"/>
                      <w:sz w:val="32"/>
                    </w:rPr>
                    <m:t>i</m:t>
                  </m:r>
                </m:sub>
              </m:sSub>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β</m:t>
                  </m:r>
                </m:e>
                <m:sub>
                  <m:r>
                    <w:rPr>
                      <w:rFonts w:ascii="Cambria Math" w:hAnsi="Cambria Math" w:cs="Times New Roman"/>
                      <w:sz w:val="32"/>
                    </w:rPr>
                    <m:t>6</m:t>
                  </m:r>
                </m:sub>
              </m:sSub>
              <m:sSub>
                <m:sSubPr>
                  <m:ctrlPr>
                    <w:rPr>
                      <w:rFonts w:ascii="Cambria Math" w:hAnsi="Cambria Math" w:cs="Times New Roman"/>
                      <w:i/>
                      <w:sz w:val="32"/>
                    </w:rPr>
                  </m:ctrlPr>
                </m:sSubPr>
                <m:e>
                  <m:r>
                    <w:rPr>
                      <w:rFonts w:ascii="Cambria Math" w:hAnsi="Cambria Math" w:cs="Times New Roman"/>
                      <w:sz w:val="32"/>
                    </w:rPr>
                    <m:t>Fam</m:t>
                  </m:r>
                </m:e>
                <m:sub>
                  <m:r>
                    <w:rPr>
                      <w:rFonts w:ascii="Cambria Math" w:hAnsi="Cambria Math" w:cs="Times New Roman"/>
                      <w:sz w:val="32"/>
                    </w:rPr>
                    <m:t>i</m:t>
                  </m:r>
                </m:sub>
              </m:sSub>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β</m:t>
                  </m:r>
                </m:e>
                <m:sub>
                  <m:r>
                    <w:rPr>
                      <w:rFonts w:ascii="Cambria Math" w:hAnsi="Cambria Math" w:cs="Times New Roman"/>
                      <w:sz w:val="32"/>
                    </w:rPr>
                    <m:t>7</m:t>
                  </m:r>
                </m:sub>
              </m:sSub>
              <m:sSub>
                <m:sSubPr>
                  <m:ctrlPr>
                    <w:rPr>
                      <w:rFonts w:ascii="Cambria Math" w:hAnsi="Cambria Math" w:cs="Times New Roman"/>
                      <w:i/>
                      <w:sz w:val="32"/>
                    </w:rPr>
                  </m:ctrlPr>
                </m:sSubPr>
                <m:e>
                  <m:r>
                    <w:rPr>
                      <w:rFonts w:ascii="Cambria Math" w:hAnsi="Cambria Math" w:cs="Times New Roman"/>
                      <w:sz w:val="32"/>
                    </w:rPr>
                    <m:t>FMD</m:t>
                  </m:r>
                </m:e>
                <m:sub>
                  <m:r>
                    <w:rPr>
                      <w:rFonts w:ascii="Cambria Math" w:hAnsi="Cambria Math" w:cs="Times New Roman"/>
                      <w:sz w:val="32"/>
                    </w:rPr>
                    <m:t>i</m:t>
                  </m:r>
                </m:sub>
              </m:sSub>
              <m:r>
                <w:rPr>
                  <w:rFonts w:ascii="Cambria Math" w:hAnsi="Cambria Math" w:cs="Times New Roman"/>
                  <w:sz w:val="32"/>
                </w:rPr>
                <m:t>+</m:t>
              </m:r>
              <m:r>
                <w:rPr>
                  <w:rFonts w:ascii="Cambria Math" w:hAnsi="Cambria Math" w:cs="Times New Roman"/>
                  <w:sz w:val="32"/>
                </w:rPr>
                <m:t>μ</m:t>
              </m:r>
              <m:r>
                <w:rPr>
                  <w:rFonts w:ascii="Cambria Math" w:hAnsi="Cambria Math" w:cs="Times New Roman"/>
                  <w:sz w:val="32"/>
                </w:rPr>
                <m:t>)</m:t>
              </m:r>
            </m:sup>
          </m:sSup>
        </m:oMath>
      </m:oMathPara>
    </w:p>
    <w:p w14:paraId="1D8A826C" w14:textId="77777777" w:rsidR="00C91EE0" w:rsidRDefault="00C91EE0">
      <w:pPr>
        <w:rPr>
          <w:color w:val="333333"/>
          <w:highlight w:val="white"/>
        </w:rPr>
      </w:pPr>
    </w:p>
    <w:tbl>
      <w:tblPr>
        <w:tblStyle w:val="a0"/>
        <w:tblW w:w="72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6"/>
        <w:gridCol w:w="1132"/>
        <w:gridCol w:w="1770"/>
        <w:gridCol w:w="1209"/>
        <w:gridCol w:w="992"/>
      </w:tblGrid>
      <w:tr w:rsidR="003C189C" w14:paraId="15E242F4" w14:textId="77777777" w:rsidTr="00F93548">
        <w:trPr>
          <w:jc w:val="center"/>
        </w:trPr>
        <w:tc>
          <w:tcPr>
            <w:tcW w:w="2126" w:type="dxa"/>
            <w:shd w:val="clear" w:color="auto" w:fill="auto"/>
            <w:tcMar>
              <w:top w:w="100" w:type="dxa"/>
              <w:left w:w="100" w:type="dxa"/>
              <w:bottom w:w="100" w:type="dxa"/>
              <w:right w:w="100" w:type="dxa"/>
            </w:tcMar>
          </w:tcPr>
          <w:p w14:paraId="65BA1909" w14:textId="77777777" w:rsidR="003C189C" w:rsidRDefault="00E94F63" w:rsidP="00C76E5A">
            <w:pPr>
              <w:widowControl w:val="0"/>
              <w:pBdr>
                <w:top w:val="nil"/>
                <w:left w:val="nil"/>
                <w:bottom w:val="nil"/>
                <w:right w:val="nil"/>
                <w:between w:val="nil"/>
              </w:pBdr>
              <w:spacing w:line="240" w:lineRule="auto"/>
              <w:jc w:val="center"/>
              <w:rPr>
                <w:b/>
                <w:color w:val="333333"/>
                <w:highlight w:val="white"/>
              </w:rPr>
            </w:pPr>
            <w:r>
              <w:rPr>
                <w:b/>
                <w:color w:val="333333"/>
                <w:highlight w:val="white"/>
              </w:rPr>
              <w:t>Variables</w:t>
            </w:r>
          </w:p>
        </w:tc>
        <w:tc>
          <w:tcPr>
            <w:tcW w:w="1132" w:type="dxa"/>
            <w:shd w:val="clear" w:color="auto" w:fill="auto"/>
            <w:tcMar>
              <w:top w:w="100" w:type="dxa"/>
              <w:left w:w="100" w:type="dxa"/>
              <w:bottom w:w="100" w:type="dxa"/>
              <w:right w:w="100" w:type="dxa"/>
            </w:tcMar>
          </w:tcPr>
          <w:p w14:paraId="2F5F6A21" w14:textId="77777777" w:rsidR="003C189C" w:rsidRDefault="00E94F63" w:rsidP="00C76E5A">
            <w:pPr>
              <w:widowControl w:val="0"/>
              <w:pBdr>
                <w:top w:val="nil"/>
                <w:left w:val="nil"/>
                <w:bottom w:val="nil"/>
                <w:right w:val="nil"/>
                <w:between w:val="nil"/>
              </w:pBdr>
              <w:spacing w:line="240" w:lineRule="auto"/>
              <w:jc w:val="center"/>
              <w:rPr>
                <w:b/>
                <w:color w:val="333333"/>
                <w:highlight w:val="white"/>
              </w:rPr>
            </w:pPr>
            <w:r>
              <w:rPr>
                <w:b/>
                <w:color w:val="333333"/>
                <w:highlight w:val="white"/>
              </w:rPr>
              <w:t>Abreviación</w:t>
            </w:r>
          </w:p>
        </w:tc>
        <w:tc>
          <w:tcPr>
            <w:tcW w:w="1770" w:type="dxa"/>
            <w:shd w:val="clear" w:color="auto" w:fill="auto"/>
            <w:tcMar>
              <w:top w:w="100" w:type="dxa"/>
              <w:left w:w="100" w:type="dxa"/>
              <w:bottom w:w="100" w:type="dxa"/>
              <w:right w:w="100" w:type="dxa"/>
            </w:tcMar>
          </w:tcPr>
          <w:p w14:paraId="7A773120" w14:textId="77777777" w:rsidR="003C189C" w:rsidRDefault="00E94F63" w:rsidP="00C76E5A">
            <w:pPr>
              <w:widowControl w:val="0"/>
              <w:pBdr>
                <w:top w:val="nil"/>
                <w:left w:val="nil"/>
                <w:bottom w:val="nil"/>
                <w:right w:val="nil"/>
                <w:between w:val="nil"/>
              </w:pBdr>
              <w:spacing w:line="240" w:lineRule="auto"/>
              <w:jc w:val="center"/>
              <w:rPr>
                <w:b/>
                <w:color w:val="333333"/>
                <w:highlight w:val="white"/>
              </w:rPr>
            </w:pPr>
            <w:r>
              <w:rPr>
                <w:b/>
                <w:color w:val="333333"/>
                <w:highlight w:val="white"/>
              </w:rPr>
              <w:t>Estimado</w:t>
            </w:r>
            <w:r w:rsidR="005557FC">
              <w:rPr>
                <w:b/>
                <w:color w:val="333333"/>
                <w:highlight w:val="white"/>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i</m:t>
                  </m:r>
                </m:sub>
              </m:sSub>
            </m:oMath>
            <w:r w:rsidR="005557FC">
              <w:rPr>
                <w:b/>
                <w:color w:val="333333"/>
                <w:highlight w:val="white"/>
              </w:rPr>
              <w:t>)</w:t>
            </w:r>
          </w:p>
        </w:tc>
        <w:tc>
          <w:tcPr>
            <w:tcW w:w="1209" w:type="dxa"/>
            <w:shd w:val="clear" w:color="auto" w:fill="auto"/>
            <w:tcMar>
              <w:top w:w="100" w:type="dxa"/>
              <w:left w:w="100" w:type="dxa"/>
              <w:bottom w:w="100" w:type="dxa"/>
              <w:right w:w="100" w:type="dxa"/>
            </w:tcMar>
          </w:tcPr>
          <w:p w14:paraId="49A4A138" w14:textId="77777777" w:rsidR="003C189C" w:rsidRDefault="00E94F63" w:rsidP="00C76E5A">
            <w:pPr>
              <w:widowControl w:val="0"/>
              <w:pBdr>
                <w:top w:val="nil"/>
                <w:left w:val="nil"/>
                <w:bottom w:val="nil"/>
                <w:right w:val="nil"/>
                <w:between w:val="nil"/>
              </w:pBdr>
              <w:spacing w:line="240" w:lineRule="auto"/>
              <w:jc w:val="center"/>
              <w:rPr>
                <w:b/>
                <w:color w:val="333333"/>
                <w:highlight w:val="white"/>
              </w:rPr>
            </w:pPr>
            <w:r>
              <w:rPr>
                <w:b/>
                <w:color w:val="333333"/>
                <w:highlight w:val="white"/>
              </w:rPr>
              <w:t>P-valor</w:t>
            </w:r>
          </w:p>
        </w:tc>
        <w:tc>
          <w:tcPr>
            <w:tcW w:w="992" w:type="dxa"/>
            <w:shd w:val="clear" w:color="auto" w:fill="auto"/>
            <w:tcMar>
              <w:top w:w="100" w:type="dxa"/>
              <w:left w:w="100" w:type="dxa"/>
              <w:bottom w:w="100" w:type="dxa"/>
              <w:right w:w="100" w:type="dxa"/>
            </w:tcMar>
          </w:tcPr>
          <w:p w14:paraId="4BC9C047" w14:textId="77777777" w:rsidR="003C189C" w:rsidRDefault="00E94F63" w:rsidP="00C76E5A">
            <w:pPr>
              <w:widowControl w:val="0"/>
              <w:pBdr>
                <w:top w:val="nil"/>
                <w:left w:val="nil"/>
                <w:bottom w:val="nil"/>
                <w:right w:val="nil"/>
                <w:between w:val="nil"/>
              </w:pBdr>
              <w:spacing w:line="240" w:lineRule="auto"/>
              <w:jc w:val="center"/>
              <w:rPr>
                <w:b/>
                <w:color w:val="333333"/>
                <w:highlight w:val="white"/>
              </w:rPr>
            </w:pPr>
            <w:r>
              <w:rPr>
                <w:b/>
                <w:color w:val="333333"/>
                <w:highlight w:val="white"/>
              </w:rPr>
              <w:t>VIF</w:t>
            </w:r>
          </w:p>
        </w:tc>
      </w:tr>
      <w:tr w:rsidR="003C189C" w14:paraId="60E9F808" w14:textId="77777777" w:rsidTr="00F93548">
        <w:trPr>
          <w:jc w:val="center"/>
        </w:trPr>
        <w:tc>
          <w:tcPr>
            <w:tcW w:w="2126" w:type="dxa"/>
            <w:shd w:val="clear" w:color="auto" w:fill="auto"/>
            <w:tcMar>
              <w:top w:w="100" w:type="dxa"/>
              <w:left w:w="100" w:type="dxa"/>
              <w:bottom w:w="100" w:type="dxa"/>
              <w:right w:w="100" w:type="dxa"/>
            </w:tcMar>
          </w:tcPr>
          <w:p w14:paraId="242F5858" w14:textId="77777777" w:rsidR="003C189C" w:rsidRDefault="00E94F63">
            <w:pPr>
              <w:widowControl w:val="0"/>
              <w:spacing w:line="240" w:lineRule="auto"/>
              <w:rPr>
                <w:b/>
                <w:color w:val="333333"/>
                <w:highlight w:val="white"/>
              </w:rPr>
            </w:pPr>
            <w:proofErr w:type="spellStart"/>
            <w:r>
              <w:rPr>
                <w:b/>
                <w:color w:val="333333"/>
                <w:highlight w:val="white"/>
              </w:rPr>
              <w:t>Intercept</w:t>
            </w:r>
            <w:proofErr w:type="spellEnd"/>
          </w:p>
        </w:tc>
        <w:tc>
          <w:tcPr>
            <w:tcW w:w="1132" w:type="dxa"/>
            <w:shd w:val="clear" w:color="auto" w:fill="auto"/>
            <w:tcMar>
              <w:top w:w="100" w:type="dxa"/>
              <w:left w:w="100" w:type="dxa"/>
              <w:bottom w:w="100" w:type="dxa"/>
              <w:right w:w="100" w:type="dxa"/>
            </w:tcMar>
          </w:tcPr>
          <w:p w14:paraId="475CE94E" w14:textId="77777777" w:rsidR="003C189C" w:rsidRPr="0082271D" w:rsidRDefault="00AA07E3">
            <w:pPr>
              <w:widowControl w:val="0"/>
              <w:pBdr>
                <w:top w:val="nil"/>
                <w:left w:val="nil"/>
                <w:bottom w:val="nil"/>
                <w:right w:val="nil"/>
                <w:between w:val="nil"/>
              </w:pBdr>
              <w:spacing w:line="240" w:lineRule="auto"/>
              <w:rPr>
                <w:b/>
                <w:color w:val="333333"/>
                <w:highlight w:val="white"/>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oMath>
            </m:oMathPara>
          </w:p>
        </w:tc>
        <w:tc>
          <w:tcPr>
            <w:tcW w:w="1770" w:type="dxa"/>
            <w:shd w:val="clear" w:color="auto" w:fill="auto"/>
            <w:tcMar>
              <w:top w:w="100" w:type="dxa"/>
              <w:left w:w="100" w:type="dxa"/>
              <w:bottom w:w="100" w:type="dxa"/>
              <w:right w:w="100" w:type="dxa"/>
            </w:tcMar>
          </w:tcPr>
          <w:p w14:paraId="526F3E29" w14:textId="77777777" w:rsidR="003C189C" w:rsidRDefault="00E94F63" w:rsidP="002A7145">
            <w:pPr>
              <w:widowControl w:val="0"/>
              <w:pBdr>
                <w:top w:val="nil"/>
                <w:left w:val="nil"/>
                <w:bottom w:val="nil"/>
                <w:right w:val="nil"/>
                <w:between w:val="nil"/>
              </w:pBdr>
              <w:spacing w:line="240" w:lineRule="auto"/>
              <w:jc w:val="center"/>
              <w:rPr>
                <w:color w:val="333333"/>
                <w:highlight w:val="white"/>
              </w:rPr>
            </w:pPr>
            <w:r>
              <w:rPr>
                <w:color w:val="333333"/>
                <w:highlight w:val="white"/>
              </w:rPr>
              <w:t>2.573e+00</w:t>
            </w:r>
          </w:p>
        </w:tc>
        <w:tc>
          <w:tcPr>
            <w:tcW w:w="1209" w:type="dxa"/>
            <w:shd w:val="clear" w:color="auto" w:fill="auto"/>
            <w:tcMar>
              <w:top w:w="100" w:type="dxa"/>
              <w:left w:w="100" w:type="dxa"/>
              <w:bottom w:w="100" w:type="dxa"/>
              <w:right w:w="100" w:type="dxa"/>
            </w:tcMar>
          </w:tcPr>
          <w:p w14:paraId="10B08928" w14:textId="77777777" w:rsidR="003C189C" w:rsidRDefault="00E94F63">
            <w:pPr>
              <w:widowControl w:val="0"/>
              <w:pBdr>
                <w:top w:val="nil"/>
                <w:left w:val="nil"/>
                <w:bottom w:val="nil"/>
                <w:right w:val="nil"/>
                <w:between w:val="nil"/>
              </w:pBdr>
              <w:spacing w:line="240" w:lineRule="auto"/>
              <w:rPr>
                <w:color w:val="333333"/>
                <w:highlight w:val="white"/>
              </w:rPr>
            </w:pPr>
            <w:r>
              <w:rPr>
                <w:color w:val="333333"/>
                <w:highlight w:val="white"/>
              </w:rPr>
              <w:t>0.0384</w:t>
            </w:r>
          </w:p>
        </w:tc>
        <w:tc>
          <w:tcPr>
            <w:tcW w:w="992" w:type="dxa"/>
            <w:shd w:val="clear" w:color="auto" w:fill="auto"/>
            <w:tcMar>
              <w:top w:w="100" w:type="dxa"/>
              <w:left w:w="100" w:type="dxa"/>
              <w:bottom w:w="100" w:type="dxa"/>
              <w:right w:w="100" w:type="dxa"/>
            </w:tcMar>
          </w:tcPr>
          <w:p w14:paraId="5F8A8A56" w14:textId="77777777" w:rsidR="003C189C" w:rsidRDefault="003C189C">
            <w:pPr>
              <w:widowControl w:val="0"/>
              <w:pBdr>
                <w:top w:val="nil"/>
                <w:left w:val="nil"/>
                <w:bottom w:val="nil"/>
                <w:right w:val="nil"/>
                <w:between w:val="nil"/>
              </w:pBdr>
              <w:spacing w:line="240" w:lineRule="auto"/>
              <w:rPr>
                <w:color w:val="333333"/>
                <w:highlight w:val="white"/>
              </w:rPr>
            </w:pPr>
          </w:p>
        </w:tc>
      </w:tr>
      <w:tr w:rsidR="003C189C" w14:paraId="63D1D4BB" w14:textId="77777777" w:rsidTr="00F93548">
        <w:trPr>
          <w:jc w:val="center"/>
        </w:trPr>
        <w:tc>
          <w:tcPr>
            <w:tcW w:w="2126" w:type="dxa"/>
            <w:shd w:val="clear" w:color="auto" w:fill="auto"/>
            <w:tcMar>
              <w:top w:w="100" w:type="dxa"/>
              <w:left w:w="100" w:type="dxa"/>
              <w:bottom w:w="100" w:type="dxa"/>
              <w:right w:w="100" w:type="dxa"/>
            </w:tcMar>
          </w:tcPr>
          <w:p w14:paraId="0ADD2F3D" w14:textId="77777777" w:rsidR="003C189C" w:rsidRPr="0082271D" w:rsidRDefault="00E94F63">
            <w:pPr>
              <w:widowControl w:val="0"/>
              <w:spacing w:line="240" w:lineRule="auto"/>
              <w:rPr>
                <w:b/>
                <w:color w:val="333333"/>
                <w:highlight w:val="white"/>
              </w:rPr>
            </w:pPr>
            <w:proofErr w:type="spellStart"/>
            <w:r w:rsidRPr="0082271D">
              <w:rPr>
                <w:b/>
                <w:color w:val="333333"/>
                <w:highlight w:val="white"/>
              </w:rPr>
              <w:t>Population</w:t>
            </w:r>
            <w:proofErr w:type="spellEnd"/>
          </w:p>
        </w:tc>
        <w:tc>
          <w:tcPr>
            <w:tcW w:w="1132" w:type="dxa"/>
            <w:shd w:val="clear" w:color="auto" w:fill="auto"/>
            <w:tcMar>
              <w:top w:w="100" w:type="dxa"/>
              <w:left w:w="100" w:type="dxa"/>
              <w:bottom w:w="100" w:type="dxa"/>
              <w:right w:w="100" w:type="dxa"/>
            </w:tcMar>
          </w:tcPr>
          <w:p w14:paraId="6269F2F3" w14:textId="77777777" w:rsidR="003C189C" w:rsidRPr="0082271D" w:rsidRDefault="00AA07E3">
            <w:pPr>
              <w:widowControl w:val="0"/>
              <w:spacing w:line="240" w:lineRule="auto"/>
              <w:rPr>
                <w:b/>
                <w:color w:val="333333"/>
                <w:highlight w:val="white"/>
              </w:rPr>
            </w:pPr>
            <m:oMathPara>
              <m:oMath>
                <m:sSub>
                  <m:sSubPr>
                    <m:ctrlPr>
                      <w:rPr>
                        <w:rFonts w:ascii="Cambria Math" w:hAnsi="Cambria Math" w:cs="Times New Roman"/>
                        <w:i/>
                      </w:rPr>
                    </m:ctrlPr>
                  </m:sSubPr>
                  <m:e>
                    <m:r>
                      <w:rPr>
                        <w:rFonts w:ascii="Cambria Math" w:hAnsi="Cambria Math" w:cs="Times New Roman"/>
                      </w:rPr>
                      <m:t>Pop</m:t>
                    </m:r>
                  </m:e>
                  <m:sub>
                    <m:r>
                      <w:rPr>
                        <w:rFonts w:ascii="Cambria Math" w:hAnsi="Cambria Math" w:cs="Times New Roman"/>
                      </w:rPr>
                      <m:t>i</m:t>
                    </m:r>
                  </m:sub>
                </m:sSub>
              </m:oMath>
            </m:oMathPara>
          </w:p>
        </w:tc>
        <w:tc>
          <w:tcPr>
            <w:tcW w:w="1770" w:type="dxa"/>
            <w:shd w:val="clear" w:color="auto" w:fill="auto"/>
            <w:tcMar>
              <w:top w:w="100" w:type="dxa"/>
              <w:left w:w="100" w:type="dxa"/>
              <w:bottom w:w="100" w:type="dxa"/>
              <w:right w:w="100" w:type="dxa"/>
            </w:tcMar>
          </w:tcPr>
          <w:p w14:paraId="159A5289" w14:textId="77777777" w:rsidR="003C189C" w:rsidRDefault="00E94F63" w:rsidP="002A7145">
            <w:pPr>
              <w:widowControl w:val="0"/>
              <w:pBdr>
                <w:top w:val="nil"/>
                <w:left w:val="nil"/>
                <w:bottom w:val="nil"/>
                <w:right w:val="nil"/>
                <w:between w:val="nil"/>
              </w:pBdr>
              <w:spacing w:line="240" w:lineRule="auto"/>
              <w:jc w:val="center"/>
              <w:rPr>
                <w:color w:val="333333"/>
                <w:highlight w:val="white"/>
              </w:rPr>
            </w:pPr>
            <w:r>
              <w:rPr>
                <w:color w:val="333333"/>
                <w:highlight w:val="white"/>
              </w:rPr>
              <w:t>2.481e-08</w:t>
            </w:r>
          </w:p>
        </w:tc>
        <w:tc>
          <w:tcPr>
            <w:tcW w:w="1209" w:type="dxa"/>
            <w:shd w:val="clear" w:color="auto" w:fill="auto"/>
            <w:tcMar>
              <w:top w:w="100" w:type="dxa"/>
              <w:left w:w="100" w:type="dxa"/>
              <w:bottom w:w="100" w:type="dxa"/>
              <w:right w:w="100" w:type="dxa"/>
            </w:tcMar>
          </w:tcPr>
          <w:p w14:paraId="5C5D07B7" w14:textId="77777777" w:rsidR="003C189C" w:rsidRDefault="00E94F63">
            <w:pPr>
              <w:widowControl w:val="0"/>
              <w:pBdr>
                <w:top w:val="nil"/>
                <w:left w:val="nil"/>
                <w:bottom w:val="nil"/>
                <w:right w:val="nil"/>
                <w:between w:val="nil"/>
              </w:pBdr>
              <w:spacing w:line="240" w:lineRule="auto"/>
              <w:rPr>
                <w:color w:val="333333"/>
                <w:highlight w:val="white"/>
              </w:rPr>
            </w:pPr>
            <w:r>
              <w:rPr>
                <w:color w:val="333333"/>
                <w:highlight w:val="white"/>
              </w:rPr>
              <w:t>3.36e-10</w:t>
            </w:r>
          </w:p>
        </w:tc>
        <w:tc>
          <w:tcPr>
            <w:tcW w:w="992" w:type="dxa"/>
            <w:shd w:val="clear" w:color="auto" w:fill="auto"/>
            <w:tcMar>
              <w:top w:w="100" w:type="dxa"/>
              <w:left w:w="100" w:type="dxa"/>
              <w:bottom w:w="100" w:type="dxa"/>
              <w:right w:w="100" w:type="dxa"/>
            </w:tcMar>
          </w:tcPr>
          <w:p w14:paraId="77FDEF4A" w14:textId="77777777" w:rsidR="003C189C" w:rsidRDefault="00E94F63">
            <w:pPr>
              <w:widowControl w:val="0"/>
              <w:pBdr>
                <w:top w:val="nil"/>
                <w:left w:val="nil"/>
                <w:bottom w:val="nil"/>
                <w:right w:val="nil"/>
                <w:between w:val="nil"/>
              </w:pBdr>
              <w:spacing w:line="240" w:lineRule="auto"/>
              <w:rPr>
                <w:color w:val="333333"/>
                <w:highlight w:val="white"/>
              </w:rPr>
            </w:pPr>
            <w:r>
              <w:rPr>
                <w:color w:val="333333"/>
                <w:highlight w:val="white"/>
              </w:rPr>
              <w:t>1.045</w:t>
            </w:r>
          </w:p>
        </w:tc>
      </w:tr>
      <w:tr w:rsidR="003C189C" w14:paraId="17EEA7F3" w14:textId="77777777" w:rsidTr="00F93548">
        <w:trPr>
          <w:jc w:val="center"/>
        </w:trPr>
        <w:tc>
          <w:tcPr>
            <w:tcW w:w="2126" w:type="dxa"/>
            <w:shd w:val="clear" w:color="auto" w:fill="auto"/>
            <w:tcMar>
              <w:top w:w="100" w:type="dxa"/>
              <w:left w:w="100" w:type="dxa"/>
              <w:bottom w:w="100" w:type="dxa"/>
              <w:right w:w="100" w:type="dxa"/>
            </w:tcMar>
          </w:tcPr>
          <w:p w14:paraId="03DAE4AD" w14:textId="77777777" w:rsidR="003C189C" w:rsidRDefault="00E94F63">
            <w:pPr>
              <w:spacing w:line="240" w:lineRule="auto"/>
              <w:rPr>
                <w:b/>
                <w:color w:val="333333"/>
                <w:highlight w:val="white"/>
              </w:rPr>
            </w:pPr>
            <w:proofErr w:type="spellStart"/>
            <w:r>
              <w:rPr>
                <w:b/>
                <w:color w:val="333333"/>
                <w:highlight w:val="white"/>
              </w:rPr>
              <w:t>Happiness</w:t>
            </w:r>
            <w:proofErr w:type="spellEnd"/>
            <w:r>
              <w:rPr>
                <w:b/>
                <w:color w:val="333333"/>
                <w:highlight w:val="white"/>
              </w:rPr>
              <w:t xml:space="preserve"> Score</w:t>
            </w:r>
          </w:p>
        </w:tc>
        <w:tc>
          <w:tcPr>
            <w:tcW w:w="1132" w:type="dxa"/>
            <w:shd w:val="clear" w:color="auto" w:fill="auto"/>
            <w:tcMar>
              <w:top w:w="100" w:type="dxa"/>
              <w:left w:w="100" w:type="dxa"/>
              <w:bottom w:w="100" w:type="dxa"/>
              <w:right w:w="100" w:type="dxa"/>
            </w:tcMar>
          </w:tcPr>
          <w:p w14:paraId="7F83730C" w14:textId="77777777" w:rsidR="003C189C" w:rsidRDefault="00AA07E3">
            <w:pPr>
              <w:spacing w:line="240" w:lineRule="auto"/>
              <w:rPr>
                <w:b/>
                <w:color w:val="333333"/>
                <w:highlight w:val="white"/>
              </w:rPr>
            </w:pPr>
            <m:oMathPara>
              <m:oMath>
                <m:sSub>
                  <m:sSubPr>
                    <m:ctrlPr>
                      <w:rPr>
                        <w:rFonts w:ascii="Cambria Math" w:hAnsi="Cambria Math" w:cs="Times New Roman"/>
                        <w:i/>
                      </w:rPr>
                    </m:ctrlPr>
                  </m:sSubPr>
                  <m:e>
                    <m:r>
                      <w:rPr>
                        <w:rFonts w:ascii="Cambria Math" w:hAnsi="Cambria Math" w:cs="Times New Roman"/>
                      </w:rPr>
                      <m:t>HS</m:t>
                    </m:r>
                  </m:e>
                  <m:sub>
                    <m:r>
                      <w:rPr>
                        <w:rFonts w:ascii="Cambria Math" w:hAnsi="Cambria Math" w:cs="Times New Roman"/>
                      </w:rPr>
                      <m:t>i</m:t>
                    </m:r>
                  </m:sub>
                </m:sSub>
              </m:oMath>
            </m:oMathPara>
          </w:p>
        </w:tc>
        <w:tc>
          <w:tcPr>
            <w:tcW w:w="1770" w:type="dxa"/>
            <w:shd w:val="clear" w:color="auto" w:fill="auto"/>
            <w:tcMar>
              <w:top w:w="100" w:type="dxa"/>
              <w:left w:w="100" w:type="dxa"/>
              <w:bottom w:w="100" w:type="dxa"/>
              <w:right w:w="100" w:type="dxa"/>
            </w:tcMar>
          </w:tcPr>
          <w:p w14:paraId="70E18805" w14:textId="77777777" w:rsidR="003C189C" w:rsidRDefault="00E94F63" w:rsidP="002A7145">
            <w:pPr>
              <w:widowControl w:val="0"/>
              <w:spacing w:line="240" w:lineRule="auto"/>
              <w:jc w:val="center"/>
              <w:rPr>
                <w:color w:val="333333"/>
                <w:highlight w:val="white"/>
              </w:rPr>
            </w:pPr>
            <w:r>
              <w:rPr>
                <w:color w:val="333333"/>
                <w:highlight w:val="white"/>
              </w:rPr>
              <w:t>4.436e+00</w:t>
            </w:r>
          </w:p>
        </w:tc>
        <w:tc>
          <w:tcPr>
            <w:tcW w:w="1209" w:type="dxa"/>
            <w:shd w:val="clear" w:color="auto" w:fill="auto"/>
            <w:tcMar>
              <w:top w:w="100" w:type="dxa"/>
              <w:left w:w="100" w:type="dxa"/>
              <w:bottom w:w="100" w:type="dxa"/>
              <w:right w:w="100" w:type="dxa"/>
            </w:tcMar>
          </w:tcPr>
          <w:p w14:paraId="172C20FA" w14:textId="77777777" w:rsidR="003C189C" w:rsidRDefault="00E94F63">
            <w:pPr>
              <w:widowControl w:val="0"/>
              <w:pBdr>
                <w:top w:val="nil"/>
                <w:left w:val="nil"/>
                <w:bottom w:val="nil"/>
                <w:right w:val="nil"/>
                <w:between w:val="nil"/>
              </w:pBdr>
              <w:spacing w:line="240" w:lineRule="auto"/>
              <w:rPr>
                <w:color w:val="333333"/>
                <w:highlight w:val="white"/>
              </w:rPr>
            </w:pPr>
            <w:r>
              <w:rPr>
                <w:color w:val="333333"/>
                <w:highlight w:val="white"/>
              </w:rPr>
              <w:t>9.91e-07</w:t>
            </w:r>
          </w:p>
        </w:tc>
        <w:tc>
          <w:tcPr>
            <w:tcW w:w="992" w:type="dxa"/>
            <w:shd w:val="clear" w:color="auto" w:fill="auto"/>
            <w:tcMar>
              <w:top w:w="100" w:type="dxa"/>
              <w:left w:w="100" w:type="dxa"/>
              <w:bottom w:w="100" w:type="dxa"/>
              <w:right w:w="100" w:type="dxa"/>
            </w:tcMar>
          </w:tcPr>
          <w:p w14:paraId="12F9E5B9" w14:textId="77777777" w:rsidR="003C189C" w:rsidRDefault="00E94F63">
            <w:pPr>
              <w:widowControl w:val="0"/>
              <w:pBdr>
                <w:top w:val="nil"/>
                <w:left w:val="nil"/>
                <w:bottom w:val="nil"/>
                <w:right w:val="nil"/>
                <w:between w:val="nil"/>
              </w:pBdr>
              <w:spacing w:line="240" w:lineRule="auto"/>
              <w:rPr>
                <w:color w:val="333333"/>
                <w:highlight w:val="white"/>
              </w:rPr>
            </w:pPr>
            <w:r>
              <w:rPr>
                <w:color w:val="333333"/>
                <w:highlight w:val="white"/>
              </w:rPr>
              <w:t>27.626</w:t>
            </w:r>
          </w:p>
        </w:tc>
      </w:tr>
      <w:tr w:rsidR="003C189C" w14:paraId="20447380" w14:textId="77777777" w:rsidTr="00F93548">
        <w:trPr>
          <w:jc w:val="center"/>
        </w:trPr>
        <w:tc>
          <w:tcPr>
            <w:tcW w:w="2126" w:type="dxa"/>
            <w:shd w:val="clear" w:color="auto" w:fill="auto"/>
            <w:tcMar>
              <w:top w:w="100" w:type="dxa"/>
              <w:left w:w="100" w:type="dxa"/>
              <w:bottom w:w="100" w:type="dxa"/>
              <w:right w:w="100" w:type="dxa"/>
            </w:tcMar>
          </w:tcPr>
          <w:p w14:paraId="39ADE287" w14:textId="77777777" w:rsidR="003C189C" w:rsidRDefault="00E94F63">
            <w:pPr>
              <w:rPr>
                <w:b/>
                <w:color w:val="333333"/>
                <w:highlight w:val="white"/>
              </w:rPr>
            </w:pPr>
            <w:r>
              <w:rPr>
                <w:b/>
              </w:rPr>
              <w:t xml:space="preserve">GDP per </w:t>
            </w:r>
            <w:proofErr w:type="spellStart"/>
            <w:r>
              <w:rPr>
                <w:b/>
              </w:rPr>
              <w:t>Capita</w:t>
            </w:r>
            <w:proofErr w:type="spellEnd"/>
          </w:p>
        </w:tc>
        <w:tc>
          <w:tcPr>
            <w:tcW w:w="1132" w:type="dxa"/>
            <w:shd w:val="clear" w:color="auto" w:fill="auto"/>
            <w:tcMar>
              <w:top w:w="100" w:type="dxa"/>
              <w:left w:w="100" w:type="dxa"/>
              <w:bottom w:w="100" w:type="dxa"/>
              <w:right w:w="100" w:type="dxa"/>
            </w:tcMar>
          </w:tcPr>
          <w:p w14:paraId="5ED8394C" w14:textId="77777777" w:rsidR="003C189C" w:rsidRDefault="00AA07E3">
            <w:pPr>
              <w:rPr>
                <w:b/>
                <w:color w:val="333333"/>
                <w:highlight w:val="white"/>
              </w:rPr>
            </w:pPr>
            <m:oMathPara>
              <m:oMath>
                <m:sSub>
                  <m:sSubPr>
                    <m:ctrlPr>
                      <w:rPr>
                        <w:rFonts w:ascii="Cambria Math" w:hAnsi="Cambria Math" w:cs="Times New Roman"/>
                        <w:i/>
                      </w:rPr>
                    </m:ctrlPr>
                  </m:sSubPr>
                  <m:e>
                    <m:r>
                      <w:rPr>
                        <w:rFonts w:ascii="Cambria Math" w:hAnsi="Cambria Math" w:cs="Times New Roman"/>
                      </w:rPr>
                      <m:t>GDP</m:t>
                    </m:r>
                  </m:e>
                  <m:sub>
                    <m:r>
                      <w:rPr>
                        <w:rFonts w:ascii="Cambria Math" w:hAnsi="Cambria Math" w:cs="Times New Roman"/>
                      </w:rPr>
                      <m:t>i</m:t>
                    </m:r>
                  </m:sub>
                </m:sSub>
              </m:oMath>
            </m:oMathPara>
          </w:p>
        </w:tc>
        <w:tc>
          <w:tcPr>
            <w:tcW w:w="1770" w:type="dxa"/>
            <w:shd w:val="clear" w:color="auto" w:fill="auto"/>
            <w:tcMar>
              <w:top w:w="100" w:type="dxa"/>
              <w:left w:w="100" w:type="dxa"/>
              <w:bottom w:w="100" w:type="dxa"/>
              <w:right w:w="100" w:type="dxa"/>
            </w:tcMar>
          </w:tcPr>
          <w:p w14:paraId="281AF3CD" w14:textId="77777777" w:rsidR="003C189C" w:rsidRDefault="00E94F63" w:rsidP="002A7145">
            <w:pPr>
              <w:widowControl w:val="0"/>
              <w:pBdr>
                <w:top w:val="nil"/>
                <w:left w:val="nil"/>
                <w:bottom w:val="nil"/>
                <w:right w:val="nil"/>
                <w:between w:val="nil"/>
              </w:pBdr>
              <w:spacing w:line="240" w:lineRule="auto"/>
              <w:jc w:val="center"/>
              <w:rPr>
                <w:color w:val="333333"/>
                <w:highlight w:val="white"/>
              </w:rPr>
            </w:pPr>
            <w:r>
              <w:rPr>
                <w:color w:val="333333"/>
                <w:highlight w:val="white"/>
              </w:rPr>
              <w:t>-6.881e+00</w:t>
            </w:r>
          </w:p>
        </w:tc>
        <w:tc>
          <w:tcPr>
            <w:tcW w:w="1209" w:type="dxa"/>
            <w:shd w:val="clear" w:color="auto" w:fill="auto"/>
            <w:tcMar>
              <w:top w:w="100" w:type="dxa"/>
              <w:left w:w="100" w:type="dxa"/>
              <w:bottom w:w="100" w:type="dxa"/>
              <w:right w:w="100" w:type="dxa"/>
            </w:tcMar>
          </w:tcPr>
          <w:p w14:paraId="2D07B51F" w14:textId="77777777" w:rsidR="003C189C" w:rsidRDefault="00E94F63">
            <w:pPr>
              <w:widowControl w:val="0"/>
              <w:pBdr>
                <w:top w:val="nil"/>
                <w:left w:val="nil"/>
                <w:bottom w:val="nil"/>
                <w:right w:val="nil"/>
                <w:between w:val="nil"/>
              </w:pBdr>
              <w:spacing w:line="240" w:lineRule="auto"/>
              <w:rPr>
                <w:color w:val="333333"/>
                <w:highlight w:val="white"/>
              </w:rPr>
            </w:pPr>
            <w:r>
              <w:rPr>
                <w:color w:val="333333"/>
                <w:highlight w:val="white"/>
              </w:rPr>
              <w:t>1.52e-05</w:t>
            </w:r>
          </w:p>
        </w:tc>
        <w:tc>
          <w:tcPr>
            <w:tcW w:w="992" w:type="dxa"/>
            <w:shd w:val="clear" w:color="auto" w:fill="auto"/>
            <w:tcMar>
              <w:top w:w="100" w:type="dxa"/>
              <w:left w:w="100" w:type="dxa"/>
              <w:bottom w:w="100" w:type="dxa"/>
              <w:right w:w="100" w:type="dxa"/>
            </w:tcMar>
          </w:tcPr>
          <w:p w14:paraId="1BBC4234" w14:textId="77777777" w:rsidR="003C189C" w:rsidRDefault="00E94F63">
            <w:pPr>
              <w:widowControl w:val="0"/>
              <w:pBdr>
                <w:top w:val="nil"/>
                <w:left w:val="nil"/>
                <w:bottom w:val="nil"/>
                <w:right w:val="nil"/>
                <w:between w:val="nil"/>
              </w:pBdr>
              <w:spacing w:line="240" w:lineRule="auto"/>
              <w:rPr>
                <w:color w:val="333333"/>
                <w:highlight w:val="white"/>
              </w:rPr>
            </w:pPr>
            <w:r>
              <w:rPr>
                <w:color w:val="333333"/>
                <w:highlight w:val="white"/>
              </w:rPr>
              <w:t>6.599</w:t>
            </w:r>
          </w:p>
        </w:tc>
      </w:tr>
      <w:tr w:rsidR="003C189C" w14:paraId="24E05F63" w14:textId="77777777" w:rsidTr="00F93548">
        <w:trPr>
          <w:jc w:val="center"/>
        </w:trPr>
        <w:tc>
          <w:tcPr>
            <w:tcW w:w="2126" w:type="dxa"/>
            <w:shd w:val="clear" w:color="auto" w:fill="auto"/>
            <w:tcMar>
              <w:top w:w="100" w:type="dxa"/>
              <w:left w:w="100" w:type="dxa"/>
              <w:bottom w:w="100" w:type="dxa"/>
              <w:right w:w="100" w:type="dxa"/>
            </w:tcMar>
          </w:tcPr>
          <w:p w14:paraId="7D0FA839" w14:textId="77777777" w:rsidR="003C189C" w:rsidRDefault="00E94F63">
            <w:pPr>
              <w:rPr>
                <w:b/>
              </w:rPr>
            </w:pPr>
            <w:proofErr w:type="spellStart"/>
            <w:r>
              <w:rPr>
                <w:b/>
              </w:rPr>
              <w:t>Generosity</w:t>
            </w:r>
            <w:proofErr w:type="spellEnd"/>
          </w:p>
        </w:tc>
        <w:tc>
          <w:tcPr>
            <w:tcW w:w="1132" w:type="dxa"/>
            <w:shd w:val="clear" w:color="auto" w:fill="auto"/>
            <w:tcMar>
              <w:top w:w="100" w:type="dxa"/>
              <w:left w:w="100" w:type="dxa"/>
              <w:bottom w:w="100" w:type="dxa"/>
              <w:right w:w="100" w:type="dxa"/>
            </w:tcMar>
          </w:tcPr>
          <w:p w14:paraId="5CB591C9" w14:textId="77777777" w:rsidR="003C189C" w:rsidRDefault="00AA07E3">
            <w:pPr>
              <w:rPr>
                <w:b/>
              </w:rPr>
            </w:pPr>
            <m:oMathPara>
              <m:oMath>
                <m:sSub>
                  <m:sSubPr>
                    <m:ctrlPr>
                      <w:rPr>
                        <w:rFonts w:ascii="Cambria Math" w:hAnsi="Cambria Math" w:cs="Times New Roman"/>
                        <w:i/>
                      </w:rPr>
                    </m:ctrlPr>
                  </m:sSubPr>
                  <m:e>
                    <m:r>
                      <w:rPr>
                        <w:rFonts w:ascii="Cambria Math" w:hAnsi="Cambria Math" w:cs="Times New Roman"/>
                      </w:rPr>
                      <m:t>Gen</m:t>
                    </m:r>
                  </m:e>
                  <m:sub>
                    <m:r>
                      <w:rPr>
                        <w:rFonts w:ascii="Cambria Math" w:hAnsi="Cambria Math" w:cs="Times New Roman"/>
                      </w:rPr>
                      <m:t>i</m:t>
                    </m:r>
                  </m:sub>
                </m:sSub>
              </m:oMath>
            </m:oMathPara>
          </w:p>
        </w:tc>
        <w:tc>
          <w:tcPr>
            <w:tcW w:w="1770" w:type="dxa"/>
            <w:shd w:val="clear" w:color="auto" w:fill="auto"/>
            <w:tcMar>
              <w:top w:w="100" w:type="dxa"/>
              <w:left w:w="100" w:type="dxa"/>
              <w:bottom w:w="100" w:type="dxa"/>
              <w:right w:w="100" w:type="dxa"/>
            </w:tcMar>
          </w:tcPr>
          <w:p w14:paraId="3CA6A842" w14:textId="77777777" w:rsidR="003C189C" w:rsidRDefault="00E94F63" w:rsidP="002A7145">
            <w:pPr>
              <w:widowControl w:val="0"/>
              <w:pBdr>
                <w:top w:val="nil"/>
                <w:left w:val="nil"/>
                <w:bottom w:val="nil"/>
                <w:right w:val="nil"/>
                <w:between w:val="nil"/>
              </w:pBdr>
              <w:spacing w:line="240" w:lineRule="auto"/>
              <w:jc w:val="center"/>
              <w:rPr>
                <w:color w:val="333333"/>
                <w:highlight w:val="white"/>
              </w:rPr>
            </w:pPr>
            <w:r>
              <w:rPr>
                <w:color w:val="333333"/>
                <w:highlight w:val="white"/>
              </w:rPr>
              <w:t>-6.230e+00</w:t>
            </w:r>
          </w:p>
        </w:tc>
        <w:tc>
          <w:tcPr>
            <w:tcW w:w="1209" w:type="dxa"/>
            <w:shd w:val="clear" w:color="auto" w:fill="auto"/>
            <w:tcMar>
              <w:top w:w="100" w:type="dxa"/>
              <w:left w:w="100" w:type="dxa"/>
              <w:bottom w:w="100" w:type="dxa"/>
              <w:right w:w="100" w:type="dxa"/>
            </w:tcMar>
          </w:tcPr>
          <w:p w14:paraId="6091B674" w14:textId="77777777" w:rsidR="003C189C" w:rsidRDefault="00E94F63">
            <w:pPr>
              <w:widowControl w:val="0"/>
              <w:pBdr>
                <w:top w:val="nil"/>
                <w:left w:val="nil"/>
                <w:bottom w:val="nil"/>
                <w:right w:val="nil"/>
                <w:between w:val="nil"/>
              </w:pBdr>
              <w:spacing w:line="240" w:lineRule="auto"/>
              <w:rPr>
                <w:color w:val="333333"/>
                <w:highlight w:val="white"/>
              </w:rPr>
            </w:pPr>
            <w:r>
              <w:rPr>
                <w:color w:val="333333"/>
                <w:highlight w:val="white"/>
              </w:rPr>
              <w:t>1.82e-03</w:t>
            </w:r>
          </w:p>
        </w:tc>
        <w:tc>
          <w:tcPr>
            <w:tcW w:w="992" w:type="dxa"/>
            <w:shd w:val="clear" w:color="auto" w:fill="auto"/>
            <w:tcMar>
              <w:top w:w="100" w:type="dxa"/>
              <w:left w:w="100" w:type="dxa"/>
              <w:bottom w:w="100" w:type="dxa"/>
              <w:right w:w="100" w:type="dxa"/>
            </w:tcMar>
          </w:tcPr>
          <w:p w14:paraId="51116F1C" w14:textId="77777777" w:rsidR="003C189C" w:rsidRDefault="00E94F63">
            <w:pPr>
              <w:widowControl w:val="0"/>
              <w:pBdr>
                <w:top w:val="nil"/>
                <w:left w:val="nil"/>
                <w:bottom w:val="nil"/>
                <w:right w:val="nil"/>
                <w:between w:val="nil"/>
              </w:pBdr>
              <w:spacing w:line="240" w:lineRule="auto"/>
              <w:rPr>
                <w:color w:val="333333"/>
                <w:highlight w:val="white"/>
              </w:rPr>
            </w:pPr>
            <w:r>
              <w:rPr>
                <w:color w:val="333333"/>
                <w:highlight w:val="white"/>
              </w:rPr>
              <w:t>2.999</w:t>
            </w:r>
          </w:p>
        </w:tc>
      </w:tr>
      <w:tr w:rsidR="003C189C" w14:paraId="3AE58050" w14:textId="77777777" w:rsidTr="00F93548">
        <w:trPr>
          <w:jc w:val="center"/>
        </w:trPr>
        <w:tc>
          <w:tcPr>
            <w:tcW w:w="2126" w:type="dxa"/>
            <w:shd w:val="clear" w:color="auto" w:fill="auto"/>
            <w:tcMar>
              <w:top w:w="100" w:type="dxa"/>
              <w:left w:w="100" w:type="dxa"/>
              <w:bottom w:w="100" w:type="dxa"/>
              <w:right w:w="100" w:type="dxa"/>
            </w:tcMar>
          </w:tcPr>
          <w:p w14:paraId="4EB8271D" w14:textId="77777777" w:rsidR="003C189C" w:rsidRDefault="00E94F63">
            <w:pPr>
              <w:rPr>
                <w:b/>
              </w:rPr>
            </w:pPr>
            <w:r>
              <w:rPr>
                <w:b/>
              </w:rPr>
              <w:t xml:space="preserve">Trust </w:t>
            </w:r>
            <w:proofErr w:type="spellStart"/>
            <w:r>
              <w:rPr>
                <w:b/>
              </w:rPr>
              <w:t>Gov</w:t>
            </w:r>
            <w:proofErr w:type="spellEnd"/>
            <w:r>
              <w:rPr>
                <w:b/>
              </w:rPr>
              <w:t xml:space="preserve"> </w:t>
            </w:r>
            <w:proofErr w:type="spellStart"/>
            <w:r>
              <w:rPr>
                <w:b/>
              </w:rPr>
              <w:t>Corruption</w:t>
            </w:r>
            <w:proofErr w:type="spellEnd"/>
          </w:p>
        </w:tc>
        <w:tc>
          <w:tcPr>
            <w:tcW w:w="1132" w:type="dxa"/>
            <w:shd w:val="clear" w:color="auto" w:fill="auto"/>
            <w:tcMar>
              <w:top w:w="100" w:type="dxa"/>
              <w:left w:w="100" w:type="dxa"/>
              <w:bottom w:w="100" w:type="dxa"/>
              <w:right w:w="100" w:type="dxa"/>
            </w:tcMar>
          </w:tcPr>
          <w:p w14:paraId="09C16EB0" w14:textId="77777777" w:rsidR="003C189C" w:rsidRDefault="00AA07E3">
            <w:pPr>
              <w:rPr>
                <w:b/>
              </w:rPr>
            </w:pPr>
            <m:oMathPara>
              <m:oMath>
                <m:sSub>
                  <m:sSubPr>
                    <m:ctrlPr>
                      <w:rPr>
                        <w:rFonts w:ascii="Cambria Math" w:hAnsi="Cambria Math" w:cs="Times New Roman"/>
                        <w:i/>
                      </w:rPr>
                    </m:ctrlPr>
                  </m:sSubPr>
                  <m:e>
                    <m:r>
                      <w:rPr>
                        <w:rFonts w:ascii="Cambria Math" w:hAnsi="Cambria Math" w:cs="Times New Roman"/>
                      </w:rPr>
                      <m:t>TGC</m:t>
                    </m:r>
                  </m:e>
                  <m:sub>
                    <m:r>
                      <w:rPr>
                        <w:rFonts w:ascii="Cambria Math" w:hAnsi="Cambria Math" w:cs="Times New Roman"/>
                      </w:rPr>
                      <m:t>i</m:t>
                    </m:r>
                  </m:sub>
                </m:sSub>
              </m:oMath>
            </m:oMathPara>
          </w:p>
        </w:tc>
        <w:tc>
          <w:tcPr>
            <w:tcW w:w="1770" w:type="dxa"/>
            <w:shd w:val="clear" w:color="auto" w:fill="auto"/>
            <w:tcMar>
              <w:top w:w="100" w:type="dxa"/>
              <w:left w:w="100" w:type="dxa"/>
              <w:bottom w:w="100" w:type="dxa"/>
              <w:right w:w="100" w:type="dxa"/>
            </w:tcMar>
          </w:tcPr>
          <w:p w14:paraId="5CBFFFAC" w14:textId="77777777" w:rsidR="003C189C" w:rsidRDefault="00E94F63" w:rsidP="002A7145">
            <w:pPr>
              <w:widowControl w:val="0"/>
              <w:spacing w:line="240" w:lineRule="auto"/>
              <w:jc w:val="center"/>
              <w:rPr>
                <w:color w:val="333333"/>
                <w:highlight w:val="white"/>
              </w:rPr>
            </w:pPr>
            <w:r>
              <w:rPr>
                <w:color w:val="333333"/>
                <w:highlight w:val="white"/>
              </w:rPr>
              <w:t>-6.513e+00</w:t>
            </w:r>
          </w:p>
        </w:tc>
        <w:tc>
          <w:tcPr>
            <w:tcW w:w="1209" w:type="dxa"/>
            <w:shd w:val="clear" w:color="auto" w:fill="auto"/>
            <w:tcMar>
              <w:top w:w="100" w:type="dxa"/>
              <w:left w:w="100" w:type="dxa"/>
              <w:bottom w:w="100" w:type="dxa"/>
              <w:right w:w="100" w:type="dxa"/>
            </w:tcMar>
          </w:tcPr>
          <w:p w14:paraId="4CC049FE" w14:textId="77777777" w:rsidR="003C189C" w:rsidRDefault="00E94F63">
            <w:pPr>
              <w:widowControl w:val="0"/>
              <w:spacing w:line="240" w:lineRule="auto"/>
              <w:rPr>
                <w:color w:val="333333"/>
                <w:highlight w:val="white"/>
              </w:rPr>
            </w:pPr>
            <w:r>
              <w:rPr>
                <w:color w:val="333333"/>
                <w:highlight w:val="white"/>
              </w:rPr>
              <w:t>8.94e-04</w:t>
            </w:r>
          </w:p>
        </w:tc>
        <w:tc>
          <w:tcPr>
            <w:tcW w:w="992" w:type="dxa"/>
            <w:shd w:val="clear" w:color="auto" w:fill="auto"/>
            <w:tcMar>
              <w:top w:w="100" w:type="dxa"/>
              <w:left w:w="100" w:type="dxa"/>
              <w:bottom w:w="100" w:type="dxa"/>
              <w:right w:w="100" w:type="dxa"/>
            </w:tcMar>
          </w:tcPr>
          <w:p w14:paraId="07E36D51" w14:textId="77777777" w:rsidR="003C189C" w:rsidRDefault="00E94F63">
            <w:pPr>
              <w:widowControl w:val="0"/>
              <w:spacing w:line="240" w:lineRule="auto"/>
              <w:rPr>
                <w:color w:val="333333"/>
                <w:highlight w:val="white"/>
              </w:rPr>
            </w:pPr>
            <w:r>
              <w:rPr>
                <w:color w:val="333333"/>
                <w:highlight w:val="white"/>
              </w:rPr>
              <w:t>2.257</w:t>
            </w:r>
          </w:p>
        </w:tc>
      </w:tr>
      <w:tr w:rsidR="003C189C" w14:paraId="58EA07A1" w14:textId="77777777" w:rsidTr="00F93548">
        <w:trPr>
          <w:jc w:val="center"/>
        </w:trPr>
        <w:tc>
          <w:tcPr>
            <w:tcW w:w="2126" w:type="dxa"/>
            <w:shd w:val="clear" w:color="auto" w:fill="auto"/>
            <w:tcMar>
              <w:top w:w="100" w:type="dxa"/>
              <w:left w:w="100" w:type="dxa"/>
              <w:bottom w:w="100" w:type="dxa"/>
              <w:right w:w="100" w:type="dxa"/>
            </w:tcMar>
          </w:tcPr>
          <w:p w14:paraId="11784645" w14:textId="77777777" w:rsidR="003C189C" w:rsidRDefault="00E94F63">
            <w:pPr>
              <w:widowControl w:val="0"/>
              <w:spacing w:line="240" w:lineRule="auto"/>
              <w:rPr>
                <w:b/>
                <w:color w:val="333333"/>
                <w:highlight w:val="white"/>
              </w:rPr>
            </w:pPr>
            <w:proofErr w:type="spellStart"/>
            <w:r>
              <w:rPr>
                <w:b/>
                <w:color w:val="333333"/>
                <w:highlight w:val="white"/>
              </w:rPr>
              <w:t>Family</w:t>
            </w:r>
            <w:proofErr w:type="spellEnd"/>
          </w:p>
        </w:tc>
        <w:tc>
          <w:tcPr>
            <w:tcW w:w="1132" w:type="dxa"/>
            <w:shd w:val="clear" w:color="auto" w:fill="auto"/>
            <w:tcMar>
              <w:top w:w="100" w:type="dxa"/>
              <w:left w:w="100" w:type="dxa"/>
              <w:bottom w:w="100" w:type="dxa"/>
              <w:right w:w="100" w:type="dxa"/>
            </w:tcMar>
          </w:tcPr>
          <w:p w14:paraId="4E2C8A4D" w14:textId="77777777" w:rsidR="003C189C" w:rsidRDefault="00AA07E3">
            <w:pPr>
              <w:widowControl w:val="0"/>
              <w:spacing w:line="240" w:lineRule="auto"/>
              <w:rPr>
                <w:b/>
                <w:color w:val="333333"/>
                <w:highlight w:val="white"/>
              </w:rPr>
            </w:pPr>
            <m:oMathPara>
              <m:oMath>
                <m:sSub>
                  <m:sSubPr>
                    <m:ctrlPr>
                      <w:rPr>
                        <w:rFonts w:ascii="Cambria Math" w:hAnsi="Cambria Math" w:cs="Times New Roman"/>
                        <w:i/>
                      </w:rPr>
                    </m:ctrlPr>
                  </m:sSubPr>
                  <m:e>
                    <m:r>
                      <w:rPr>
                        <w:rFonts w:ascii="Cambria Math" w:hAnsi="Cambria Math" w:cs="Times New Roman"/>
                      </w:rPr>
                      <m:t>Fam</m:t>
                    </m:r>
                  </m:e>
                  <m:sub>
                    <m:r>
                      <w:rPr>
                        <w:rFonts w:ascii="Cambria Math" w:hAnsi="Cambria Math" w:cs="Times New Roman"/>
                      </w:rPr>
                      <m:t>i</m:t>
                    </m:r>
                  </m:sub>
                </m:sSub>
              </m:oMath>
            </m:oMathPara>
          </w:p>
        </w:tc>
        <w:tc>
          <w:tcPr>
            <w:tcW w:w="1770" w:type="dxa"/>
            <w:shd w:val="clear" w:color="auto" w:fill="auto"/>
            <w:tcMar>
              <w:top w:w="100" w:type="dxa"/>
              <w:left w:w="100" w:type="dxa"/>
              <w:bottom w:w="100" w:type="dxa"/>
              <w:right w:w="100" w:type="dxa"/>
            </w:tcMar>
          </w:tcPr>
          <w:p w14:paraId="1DC27F85" w14:textId="77777777" w:rsidR="003C189C" w:rsidRDefault="00E94F63" w:rsidP="002A7145">
            <w:pPr>
              <w:widowControl w:val="0"/>
              <w:spacing w:line="240" w:lineRule="auto"/>
              <w:jc w:val="center"/>
              <w:rPr>
                <w:color w:val="333333"/>
                <w:highlight w:val="white"/>
              </w:rPr>
            </w:pPr>
            <w:r>
              <w:rPr>
                <w:color w:val="333333"/>
                <w:highlight w:val="white"/>
              </w:rPr>
              <w:t>-3.831e+00</w:t>
            </w:r>
          </w:p>
        </w:tc>
        <w:tc>
          <w:tcPr>
            <w:tcW w:w="1209" w:type="dxa"/>
            <w:shd w:val="clear" w:color="auto" w:fill="auto"/>
            <w:tcMar>
              <w:top w:w="100" w:type="dxa"/>
              <w:left w:w="100" w:type="dxa"/>
              <w:bottom w:w="100" w:type="dxa"/>
              <w:right w:w="100" w:type="dxa"/>
            </w:tcMar>
          </w:tcPr>
          <w:p w14:paraId="49A2D919" w14:textId="77777777" w:rsidR="003C189C" w:rsidRDefault="00E94F63">
            <w:pPr>
              <w:widowControl w:val="0"/>
              <w:pBdr>
                <w:top w:val="nil"/>
                <w:left w:val="nil"/>
                <w:bottom w:val="nil"/>
                <w:right w:val="nil"/>
                <w:between w:val="nil"/>
              </w:pBdr>
              <w:spacing w:line="240" w:lineRule="auto"/>
              <w:rPr>
                <w:color w:val="333333"/>
                <w:highlight w:val="white"/>
              </w:rPr>
            </w:pPr>
            <w:r>
              <w:rPr>
                <w:color w:val="333333"/>
                <w:highlight w:val="white"/>
              </w:rPr>
              <w:t>0.017</w:t>
            </w:r>
          </w:p>
        </w:tc>
        <w:tc>
          <w:tcPr>
            <w:tcW w:w="992" w:type="dxa"/>
            <w:shd w:val="clear" w:color="auto" w:fill="auto"/>
            <w:tcMar>
              <w:top w:w="100" w:type="dxa"/>
              <w:left w:w="100" w:type="dxa"/>
              <w:bottom w:w="100" w:type="dxa"/>
              <w:right w:w="100" w:type="dxa"/>
            </w:tcMar>
          </w:tcPr>
          <w:p w14:paraId="076F6E60" w14:textId="77777777" w:rsidR="003C189C" w:rsidRDefault="00E94F63">
            <w:pPr>
              <w:widowControl w:val="0"/>
              <w:pBdr>
                <w:top w:val="nil"/>
                <w:left w:val="nil"/>
                <w:bottom w:val="nil"/>
                <w:right w:val="nil"/>
                <w:between w:val="nil"/>
              </w:pBdr>
              <w:spacing w:line="240" w:lineRule="auto"/>
              <w:rPr>
                <w:color w:val="333333"/>
                <w:highlight w:val="white"/>
              </w:rPr>
            </w:pPr>
            <w:r>
              <w:rPr>
                <w:color w:val="333333"/>
                <w:highlight w:val="white"/>
              </w:rPr>
              <w:t>3.491</w:t>
            </w:r>
          </w:p>
        </w:tc>
      </w:tr>
      <w:tr w:rsidR="003C189C" w14:paraId="5D5E2A4E" w14:textId="77777777" w:rsidTr="00F93548">
        <w:trPr>
          <w:jc w:val="center"/>
        </w:trPr>
        <w:tc>
          <w:tcPr>
            <w:tcW w:w="2126" w:type="dxa"/>
            <w:shd w:val="clear" w:color="auto" w:fill="auto"/>
            <w:tcMar>
              <w:top w:w="100" w:type="dxa"/>
              <w:left w:w="100" w:type="dxa"/>
              <w:bottom w:w="100" w:type="dxa"/>
              <w:right w:w="100" w:type="dxa"/>
            </w:tcMar>
          </w:tcPr>
          <w:p w14:paraId="25339284" w14:textId="77777777" w:rsidR="003C189C" w:rsidRDefault="00E94F63">
            <w:pPr>
              <w:widowControl w:val="0"/>
              <w:spacing w:line="240" w:lineRule="auto"/>
              <w:rPr>
                <w:b/>
                <w:color w:val="333333"/>
                <w:highlight w:val="white"/>
              </w:rPr>
            </w:pPr>
            <w:proofErr w:type="spellStart"/>
            <w:r>
              <w:rPr>
                <w:b/>
                <w:color w:val="333333"/>
                <w:highlight w:val="white"/>
              </w:rPr>
              <w:t>FreedomMD</w:t>
            </w:r>
            <w:proofErr w:type="spellEnd"/>
          </w:p>
        </w:tc>
        <w:tc>
          <w:tcPr>
            <w:tcW w:w="1132" w:type="dxa"/>
            <w:shd w:val="clear" w:color="auto" w:fill="auto"/>
            <w:tcMar>
              <w:top w:w="100" w:type="dxa"/>
              <w:left w:w="100" w:type="dxa"/>
              <w:bottom w:w="100" w:type="dxa"/>
              <w:right w:w="100" w:type="dxa"/>
            </w:tcMar>
          </w:tcPr>
          <w:p w14:paraId="4688A26D" w14:textId="77777777" w:rsidR="003C189C" w:rsidRDefault="00AA07E3">
            <w:pPr>
              <w:widowControl w:val="0"/>
              <w:spacing w:line="240" w:lineRule="auto"/>
              <w:rPr>
                <w:b/>
                <w:color w:val="333333"/>
                <w:highlight w:val="white"/>
              </w:rPr>
            </w:pPr>
            <m:oMathPara>
              <m:oMath>
                <m:sSub>
                  <m:sSubPr>
                    <m:ctrlPr>
                      <w:rPr>
                        <w:rFonts w:ascii="Cambria Math" w:hAnsi="Cambria Math" w:cs="Times New Roman"/>
                        <w:i/>
                      </w:rPr>
                    </m:ctrlPr>
                  </m:sSubPr>
                  <m:e>
                    <m:r>
                      <w:rPr>
                        <w:rFonts w:ascii="Cambria Math" w:hAnsi="Cambria Math" w:cs="Times New Roman"/>
                      </w:rPr>
                      <m:t>FMD</m:t>
                    </m:r>
                  </m:e>
                  <m:sub>
                    <m:r>
                      <w:rPr>
                        <w:rFonts w:ascii="Cambria Math" w:hAnsi="Cambria Math" w:cs="Times New Roman"/>
                      </w:rPr>
                      <m:t>i</m:t>
                    </m:r>
                  </m:sub>
                </m:sSub>
              </m:oMath>
            </m:oMathPara>
          </w:p>
        </w:tc>
        <w:tc>
          <w:tcPr>
            <w:tcW w:w="1770" w:type="dxa"/>
            <w:shd w:val="clear" w:color="auto" w:fill="auto"/>
            <w:tcMar>
              <w:top w:w="100" w:type="dxa"/>
              <w:left w:w="100" w:type="dxa"/>
              <w:bottom w:w="100" w:type="dxa"/>
              <w:right w:w="100" w:type="dxa"/>
            </w:tcMar>
          </w:tcPr>
          <w:p w14:paraId="02CC0C96" w14:textId="77777777" w:rsidR="003C189C" w:rsidRDefault="00E94F63" w:rsidP="002A7145">
            <w:pPr>
              <w:widowControl w:val="0"/>
              <w:spacing w:line="240" w:lineRule="auto"/>
              <w:jc w:val="center"/>
              <w:rPr>
                <w:color w:val="333333"/>
                <w:highlight w:val="white"/>
              </w:rPr>
            </w:pPr>
            <w:r>
              <w:rPr>
                <w:color w:val="333333"/>
                <w:highlight w:val="white"/>
              </w:rPr>
              <w:t>-4.706e+00</w:t>
            </w:r>
          </w:p>
        </w:tc>
        <w:tc>
          <w:tcPr>
            <w:tcW w:w="1209" w:type="dxa"/>
            <w:shd w:val="clear" w:color="auto" w:fill="auto"/>
            <w:tcMar>
              <w:top w:w="100" w:type="dxa"/>
              <w:left w:w="100" w:type="dxa"/>
              <w:bottom w:w="100" w:type="dxa"/>
              <w:right w:w="100" w:type="dxa"/>
            </w:tcMar>
          </w:tcPr>
          <w:p w14:paraId="690B99ED" w14:textId="77777777" w:rsidR="003C189C" w:rsidRDefault="00E94F63">
            <w:pPr>
              <w:widowControl w:val="0"/>
              <w:pBdr>
                <w:top w:val="nil"/>
                <w:left w:val="nil"/>
                <w:bottom w:val="nil"/>
                <w:right w:val="nil"/>
                <w:between w:val="nil"/>
              </w:pBdr>
              <w:spacing w:line="240" w:lineRule="auto"/>
              <w:rPr>
                <w:color w:val="333333"/>
                <w:highlight w:val="white"/>
              </w:rPr>
            </w:pPr>
            <w:r>
              <w:rPr>
                <w:color w:val="333333"/>
                <w:highlight w:val="white"/>
              </w:rPr>
              <w:t>2.13e-06</w:t>
            </w:r>
          </w:p>
        </w:tc>
        <w:tc>
          <w:tcPr>
            <w:tcW w:w="992" w:type="dxa"/>
            <w:shd w:val="clear" w:color="auto" w:fill="auto"/>
            <w:tcMar>
              <w:top w:w="100" w:type="dxa"/>
              <w:left w:w="100" w:type="dxa"/>
              <w:bottom w:w="100" w:type="dxa"/>
              <w:right w:w="100" w:type="dxa"/>
            </w:tcMar>
          </w:tcPr>
          <w:p w14:paraId="7D1D0538" w14:textId="77777777" w:rsidR="003C189C" w:rsidRDefault="00E94F63">
            <w:pPr>
              <w:widowControl w:val="0"/>
              <w:pBdr>
                <w:top w:val="nil"/>
                <w:left w:val="nil"/>
                <w:bottom w:val="nil"/>
                <w:right w:val="nil"/>
                <w:between w:val="nil"/>
              </w:pBdr>
              <w:spacing w:line="240" w:lineRule="auto"/>
              <w:rPr>
                <w:color w:val="333333"/>
                <w:highlight w:val="white"/>
              </w:rPr>
            </w:pPr>
            <w:r>
              <w:rPr>
                <w:color w:val="333333"/>
                <w:highlight w:val="white"/>
              </w:rPr>
              <w:t>11.004</w:t>
            </w:r>
          </w:p>
        </w:tc>
      </w:tr>
      <w:tr w:rsidR="003C189C" w14:paraId="4999D7DF" w14:textId="77777777" w:rsidTr="00F93548">
        <w:trPr>
          <w:jc w:val="center"/>
        </w:trPr>
        <w:tc>
          <w:tcPr>
            <w:tcW w:w="2126" w:type="dxa"/>
            <w:shd w:val="clear" w:color="auto" w:fill="auto"/>
            <w:tcMar>
              <w:top w:w="100" w:type="dxa"/>
              <w:left w:w="100" w:type="dxa"/>
              <w:bottom w:w="100" w:type="dxa"/>
              <w:right w:w="100" w:type="dxa"/>
            </w:tcMar>
          </w:tcPr>
          <w:p w14:paraId="0089E102" w14:textId="77777777" w:rsidR="003C189C" w:rsidRDefault="00E94F63">
            <w:pPr>
              <w:widowControl w:val="0"/>
              <w:spacing w:line="240" w:lineRule="auto"/>
              <w:rPr>
                <w:b/>
                <w:color w:val="333333"/>
                <w:highlight w:val="white"/>
              </w:rPr>
            </w:pPr>
            <w:r>
              <w:rPr>
                <w:b/>
                <w:color w:val="333333"/>
                <w:highlight w:val="white"/>
              </w:rPr>
              <w:t xml:space="preserve">R- </w:t>
            </w:r>
            <w:proofErr w:type="spellStart"/>
            <w:r>
              <w:rPr>
                <w:b/>
                <w:color w:val="333333"/>
                <w:highlight w:val="white"/>
              </w:rPr>
              <w:t>squared</w:t>
            </w:r>
            <w:proofErr w:type="spellEnd"/>
            <w:r>
              <w:rPr>
                <w:b/>
                <w:color w:val="333333"/>
                <w:highlight w:val="white"/>
              </w:rPr>
              <w:t xml:space="preserve"> </w:t>
            </w:r>
          </w:p>
        </w:tc>
        <w:tc>
          <w:tcPr>
            <w:tcW w:w="1132" w:type="dxa"/>
            <w:shd w:val="clear" w:color="auto" w:fill="auto"/>
            <w:tcMar>
              <w:top w:w="100" w:type="dxa"/>
              <w:left w:w="100" w:type="dxa"/>
              <w:bottom w:w="100" w:type="dxa"/>
              <w:right w:w="100" w:type="dxa"/>
            </w:tcMar>
          </w:tcPr>
          <w:p w14:paraId="4489C811" w14:textId="77777777" w:rsidR="003C189C" w:rsidRDefault="003C189C">
            <w:pPr>
              <w:widowControl w:val="0"/>
              <w:spacing w:line="240" w:lineRule="auto"/>
              <w:rPr>
                <w:b/>
                <w:color w:val="333333"/>
                <w:highlight w:val="white"/>
              </w:rPr>
            </w:pPr>
          </w:p>
        </w:tc>
        <w:tc>
          <w:tcPr>
            <w:tcW w:w="1770" w:type="dxa"/>
            <w:shd w:val="clear" w:color="auto" w:fill="auto"/>
            <w:tcMar>
              <w:top w:w="100" w:type="dxa"/>
              <w:left w:w="100" w:type="dxa"/>
              <w:bottom w:w="100" w:type="dxa"/>
              <w:right w:w="100" w:type="dxa"/>
            </w:tcMar>
          </w:tcPr>
          <w:p w14:paraId="74CD12CF" w14:textId="77777777" w:rsidR="003C189C" w:rsidRDefault="00E94F63" w:rsidP="002A7145">
            <w:pPr>
              <w:widowControl w:val="0"/>
              <w:spacing w:line="240" w:lineRule="auto"/>
              <w:jc w:val="center"/>
              <w:rPr>
                <w:color w:val="333333"/>
                <w:highlight w:val="white"/>
              </w:rPr>
            </w:pPr>
            <w:r>
              <w:rPr>
                <w:color w:val="333333"/>
                <w:highlight w:val="white"/>
              </w:rPr>
              <w:t>0.5661</w:t>
            </w:r>
          </w:p>
        </w:tc>
        <w:tc>
          <w:tcPr>
            <w:tcW w:w="1209" w:type="dxa"/>
            <w:shd w:val="clear" w:color="auto" w:fill="auto"/>
            <w:tcMar>
              <w:top w:w="100" w:type="dxa"/>
              <w:left w:w="100" w:type="dxa"/>
              <w:bottom w:w="100" w:type="dxa"/>
              <w:right w:w="100" w:type="dxa"/>
            </w:tcMar>
          </w:tcPr>
          <w:p w14:paraId="7A57844F" w14:textId="77777777" w:rsidR="003C189C" w:rsidRDefault="003C189C">
            <w:pPr>
              <w:widowControl w:val="0"/>
              <w:spacing w:line="240" w:lineRule="auto"/>
              <w:rPr>
                <w:color w:val="333333"/>
                <w:highlight w:val="white"/>
              </w:rPr>
            </w:pPr>
          </w:p>
        </w:tc>
        <w:tc>
          <w:tcPr>
            <w:tcW w:w="992" w:type="dxa"/>
            <w:shd w:val="clear" w:color="auto" w:fill="auto"/>
            <w:tcMar>
              <w:top w:w="100" w:type="dxa"/>
              <w:left w:w="100" w:type="dxa"/>
              <w:bottom w:w="100" w:type="dxa"/>
              <w:right w:w="100" w:type="dxa"/>
            </w:tcMar>
          </w:tcPr>
          <w:p w14:paraId="0A7BC74F" w14:textId="77777777" w:rsidR="003C189C" w:rsidRDefault="003C189C">
            <w:pPr>
              <w:widowControl w:val="0"/>
              <w:spacing w:line="240" w:lineRule="auto"/>
              <w:rPr>
                <w:color w:val="333333"/>
                <w:highlight w:val="white"/>
              </w:rPr>
            </w:pPr>
          </w:p>
        </w:tc>
      </w:tr>
      <w:tr w:rsidR="003C189C" w14:paraId="44596F5A" w14:textId="77777777" w:rsidTr="00F93548">
        <w:trPr>
          <w:jc w:val="center"/>
        </w:trPr>
        <w:tc>
          <w:tcPr>
            <w:tcW w:w="2126" w:type="dxa"/>
            <w:shd w:val="clear" w:color="auto" w:fill="auto"/>
            <w:tcMar>
              <w:top w:w="100" w:type="dxa"/>
              <w:left w:w="100" w:type="dxa"/>
              <w:bottom w:w="100" w:type="dxa"/>
              <w:right w:w="100" w:type="dxa"/>
            </w:tcMar>
          </w:tcPr>
          <w:p w14:paraId="2DFB6C5D" w14:textId="77777777" w:rsidR="003C189C" w:rsidRDefault="00E94F63">
            <w:pPr>
              <w:rPr>
                <w:b/>
                <w:color w:val="333333"/>
                <w:highlight w:val="white"/>
              </w:rPr>
            </w:pPr>
            <w:r>
              <w:rPr>
                <w:b/>
                <w:color w:val="333333"/>
                <w:highlight w:val="white"/>
              </w:rPr>
              <w:t>Estadístico F</w:t>
            </w:r>
          </w:p>
        </w:tc>
        <w:tc>
          <w:tcPr>
            <w:tcW w:w="1132" w:type="dxa"/>
            <w:shd w:val="clear" w:color="auto" w:fill="auto"/>
            <w:tcMar>
              <w:top w:w="100" w:type="dxa"/>
              <w:left w:w="100" w:type="dxa"/>
              <w:bottom w:w="100" w:type="dxa"/>
              <w:right w:w="100" w:type="dxa"/>
            </w:tcMar>
          </w:tcPr>
          <w:p w14:paraId="21790A46" w14:textId="77777777" w:rsidR="003C189C" w:rsidRDefault="003C189C">
            <w:pPr>
              <w:rPr>
                <w:b/>
                <w:color w:val="333333"/>
                <w:highlight w:val="white"/>
              </w:rPr>
            </w:pPr>
          </w:p>
        </w:tc>
        <w:tc>
          <w:tcPr>
            <w:tcW w:w="1770" w:type="dxa"/>
            <w:shd w:val="clear" w:color="auto" w:fill="auto"/>
            <w:tcMar>
              <w:top w:w="100" w:type="dxa"/>
              <w:left w:w="100" w:type="dxa"/>
              <w:bottom w:w="100" w:type="dxa"/>
              <w:right w:w="100" w:type="dxa"/>
            </w:tcMar>
          </w:tcPr>
          <w:p w14:paraId="3B8BD4C7" w14:textId="77777777" w:rsidR="003C189C" w:rsidRDefault="003C189C">
            <w:pPr>
              <w:rPr>
                <w:color w:val="333333"/>
                <w:highlight w:val="white"/>
              </w:rPr>
            </w:pPr>
          </w:p>
        </w:tc>
        <w:tc>
          <w:tcPr>
            <w:tcW w:w="1209" w:type="dxa"/>
            <w:shd w:val="clear" w:color="auto" w:fill="auto"/>
            <w:tcMar>
              <w:top w:w="100" w:type="dxa"/>
              <w:left w:w="100" w:type="dxa"/>
              <w:bottom w:w="100" w:type="dxa"/>
              <w:right w:w="100" w:type="dxa"/>
            </w:tcMar>
          </w:tcPr>
          <w:p w14:paraId="7E6EBCB7" w14:textId="77777777" w:rsidR="003C189C" w:rsidRDefault="00E94F63">
            <w:pPr>
              <w:rPr>
                <w:color w:val="333333"/>
                <w:highlight w:val="white"/>
              </w:rPr>
            </w:pPr>
            <w:r>
              <w:rPr>
                <w:color w:val="333333"/>
                <w:highlight w:val="white"/>
              </w:rPr>
              <w:t>8.667e-11</w:t>
            </w:r>
          </w:p>
        </w:tc>
        <w:tc>
          <w:tcPr>
            <w:tcW w:w="992" w:type="dxa"/>
            <w:shd w:val="clear" w:color="auto" w:fill="auto"/>
            <w:tcMar>
              <w:top w:w="100" w:type="dxa"/>
              <w:left w:w="100" w:type="dxa"/>
              <w:bottom w:w="100" w:type="dxa"/>
              <w:right w:w="100" w:type="dxa"/>
            </w:tcMar>
          </w:tcPr>
          <w:p w14:paraId="794AC44B" w14:textId="77777777" w:rsidR="003C189C" w:rsidRDefault="003C189C" w:rsidP="00C76E5A">
            <w:pPr>
              <w:keepNext/>
              <w:rPr>
                <w:color w:val="333333"/>
                <w:highlight w:val="white"/>
              </w:rPr>
            </w:pPr>
          </w:p>
        </w:tc>
      </w:tr>
    </w:tbl>
    <w:p w14:paraId="36119E25" w14:textId="7F900943" w:rsidR="003C189C" w:rsidRPr="00C76E5A" w:rsidRDefault="00C76E5A" w:rsidP="00C76E5A">
      <w:pPr>
        <w:pStyle w:val="Descripcin"/>
        <w:jc w:val="center"/>
        <w:rPr>
          <w:color w:val="auto"/>
          <w:highlight w:val="white"/>
        </w:rPr>
      </w:pPr>
      <w:r w:rsidRPr="00C76E5A">
        <w:rPr>
          <w:color w:val="auto"/>
        </w:rPr>
        <w:t xml:space="preserve">Tabla </w:t>
      </w:r>
      <w:r w:rsidRPr="00C76E5A">
        <w:rPr>
          <w:color w:val="auto"/>
        </w:rPr>
        <w:fldChar w:fldCharType="begin"/>
      </w:r>
      <w:r w:rsidRPr="00C76E5A">
        <w:rPr>
          <w:color w:val="auto"/>
        </w:rPr>
        <w:instrText xml:space="preserve"> SEQ Tabla \* ARABIC </w:instrText>
      </w:r>
      <w:r w:rsidRPr="00C76E5A">
        <w:rPr>
          <w:color w:val="auto"/>
        </w:rPr>
        <w:fldChar w:fldCharType="separate"/>
      </w:r>
      <w:r w:rsidR="00BF0F19">
        <w:rPr>
          <w:noProof/>
          <w:color w:val="auto"/>
        </w:rPr>
        <w:t>2</w:t>
      </w:r>
      <w:r w:rsidRPr="00C76E5A">
        <w:rPr>
          <w:color w:val="auto"/>
        </w:rPr>
        <w:fldChar w:fldCharType="end"/>
      </w:r>
      <w:r w:rsidRPr="00C76E5A">
        <w:rPr>
          <w:color w:val="auto"/>
        </w:rPr>
        <w:t>: Resultados del modelo de regresión y análisis VIF</w:t>
      </w:r>
      <w:r w:rsidR="00AB1EDF">
        <w:rPr>
          <w:color w:val="auto"/>
        </w:rPr>
        <w:t>, μ es el error asociado a la regresión</w:t>
      </w:r>
      <w:bookmarkStart w:id="0" w:name="_GoBack"/>
      <w:bookmarkEnd w:id="0"/>
      <w:r w:rsidRPr="00C76E5A">
        <w:rPr>
          <w:color w:val="auto"/>
        </w:rPr>
        <w:t>.</w:t>
      </w:r>
    </w:p>
    <w:p w14:paraId="5CECD219" w14:textId="77777777" w:rsidR="007F69BA" w:rsidRDefault="007F69BA">
      <w:pPr>
        <w:jc w:val="both"/>
        <w:rPr>
          <w:color w:val="333333"/>
          <w:highlight w:val="white"/>
        </w:rPr>
      </w:pPr>
    </w:p>
    <w:p w14:paraId="0444EF10" w14:textId="77777777" w:rsidR="003C189C" w:rsidRDefault="00E94F63">
      <w:pPr>
        <w:jc w:val="both"/>
        <w:rPr>
          <w:color w:val="333333"/>
          <w:highlight w:val="white"/>
        </w:rPr>
      </w:pPr>
      <w:r>
        <w:rPr>
          <w:color w:val="333333"/>
          <w:highlight w:val="white"/>
        </w:rPr>
        <w:t xml:space="preserve">El </w:t>
      </w:r>
      <w:r>
        <w:rPr>
          <w:i/>
          <w:color w:val="333333"/>
          <w:highlight w:val="white"/>
        </w:rPr>
        <w:t>p-</w:t>
      </w:r>
      <w:proofErr w:type="spellStart"/>
      <w:r>
        <w:rPr>
          <w:i/>
          <w:color w:val="333333"/>
          <w:highlight w:val="white"/>
        </w:rPr>
        <w:t>value</w:t>
      </w:r>
      <w:proofErr w:type="spellEnd"/>
      <w:r>
        <w:rPr>
          <w:color w:val="333333"/>
          <w:highlight w:val="white"/>
        </w:rPr>
        <w:t xml:space="preserve"> obtenido para el estadístico F es muy pequeño (&lt; 8.667e-11) lo que indica que al menos uno de los predictores introducidos en el modelo está relacionado con la variable respuesta </w:t>
      </w:r>
      <w:r>
        <w:rPr>
          <w:i/>
          <w:color w:val="333333"/>
          <w:highlight w:val="white"/>
        </w:rPr>
        <w:t>suicidios</w:t>
      </w:r>
      <w:r>
        <w:rPr>
          <w:color w:val="333333"/>
          <w:highlight w:val="white"/>
        </w:rPr>
        <w:t>. El modelo es capaz de explicar el 56.6% de la variabilidad observada en el precio de la vivienda. Además, todas las variables son significativas y aportan de una u otra manera información al modelo.</w:t>
      </w:r>
    </w:p>
    <w:p w14:paraId="6393F474" w14:textId="77777777" w:rsidR="003C189C" w:rsidRDefault="003C189C">
      <w:pPr>
        <w:jc w:val="both"/>
        <w:rPr>
          <w:color w:val="333333"/>
          <w:highlight w:val="white"/>
        </w:rPr>
      </w:pPr>
    </w:p>
    <w:p w14:paraId="3E15F675" w14:textId="77777777" w:rsidR="003C189C" w:rsidRDefault="00E94F63">
      <w:pPr>
        <w:jc w:val="both"/>
        <w:rPr>
          <w:color w:val="333333"/>
          <w:highlight w:val="white"/>
        </w:rPr>
      </w:pPr>
      <w:r>
        <w:rPr>
          <w:color w:val="333333"/>
          <w:highlight w:val="white"/>
        </w:rPr>
        <w:t xml:space="preserve">Para el estudio de la multicolinealidad una de las medidas más utilizadas es el </w:t>
      </w:r>
      <w:r>
        <w:rPr>
          <w:i/>
          <w:color w:val="333333"/>
          <w:highlight w:val="white"/>
        </w:rPr>
        <w:t>factor de inflación de varianza VIF</w:t>
      </w:r>
      <w:r>
        <w:rPr>
          <w:color w:val="333333"/>
          <w:highlight w:val="white"/>
        </w:rPr>
        <w:t xml:space="preserve">. Puede calcularse mediante la función </w:t>
      </w:r>
      <w:proofErr w:type="spellStart"/>
      <w:proofErr w:type="gramStart"/>
      <w:r w:rsidRPr="007D6330">
        <w:rPr>
          <w:b/>
          <w:color w:val="333333"/>
          <w:highlight w:val="white"/>
        </w:rPr>
        <w:t>vif</w:t>
      </w:r>
      <w:proofErr w:type="spellEnd"/>
      <w:r w:rsidRPr="007D6330">
        <w:rPr>
          <w:b/>
          <w:color w:val="333333"/>
          <w:highlight w:val="white"/>
        </w:rPr>
        <w:t>(</w:t>
      </w:r>
      <w:proofErr w:type="gramEnd"/>
      <w:r w:rsidRPr="007D6330">
        <w:rPr>
          <w:b/>
          <w:color w:val="333333"/>
          <w:highlight w:val="white"/>
        </w:rPr>
        <w:t>)</w:t>
      </w:r>
      <w:r>
        <w:rPr>
          <w:color w:val="333333"/>
          <w:highlight w:val="white"/>
        </w:rPr>
        <w:t xml:space="preserve"> del paquete </w:t>
      </w:r>
      <w:r>
        <w:rPr>
          <w:i/>
          <w:color w:val="333333"/>
          <w:highlight w:val="white"/>
        </w:rPr>
        <w:t>car</w:t>
      </w:r>
      <w:r>
        <w:rPr>
          <w:color w:val="333333"/>
          <w:highlight w:val="white"/>
        </w:rPr>
        <w:t>. Los índices VIF son bajos o moderados, valores entre 5 y 10 indican posibles problemas y valores mayores o iguales a 10 se consideran muy problemáticos. Se observa que las variables relacionadas con el puntaje de felicidad (</w:t>
      </w:r>
      <w:proofErr w:type="spellStart"/>
      <w:r>
        <w:rPr>
          <w:color w:val="333333"/>
          <w:highlight w:val="white"/>
        </w:rPr>
        <w:t>HappinessScore</w:t>
      </w:r>
      <w:proofErr w:type="spellEnd"/>
      <w:r>
        <w:rPr>
          <w:color w:val="333333"/>
          <w:highlight w:val="white"/>
        </w:rPr>
        <w:t xml:space="preserve">) no presentan </w:t>
      </w:r>
      <w:r w:rsidR="007D6330">
        <w:rPr>
          <w:color w:val="333333"/>
          <w:highlight w:val="white"/>
        </w:rPr>
        <w:t>problemas,</w:t>
      </w:r>
      <w:r>
        <w:rPr>
          <w:color w:val="333333"/>
          <w:highlight w:val="white"/>
        </w:rPr>
        <w:t xml:space="preserve"> mientras que la variable misma </w:t>
      </w:r>
      <w:proofErr w:type="spellStart"/>
      <w:r>
        <w:rPr>
          <w:color w:val="333333"/>
          <w:highlight w:val="white"/>
        </w:rPr>
        <w:t>HappinessScore</w:t>
      </w:r>
      <w:proofErr w:type="spellEnd"/>
      <w:r>
        <w:rPr>
          <w:color w:val="333333"/>
          <w:highlight w:val="white"/>
        </w:rPr>
        <w:t xml:space="preserve"> presenta inconsistencias considerables.</w:t>
      </w:r>
    </w:p>
    <w:p w14:paraId="6B9CCB0E" w14:textId="77777777" w:rsidR="003C189C" w:rsidRDefault="003C189C">
      <w:pPr>
        <w:rPr>
          <w:color w:val="333333"/>
          <w:highlight w:val="white"/>
        </w:rPr>
      </w:pPr>
    </w:p>
    <w:p w14:paraId="7926CF25" w14:textId="77777777" w:rsidR="00F93548" w:rsidRPr="00F93548" w:rsidRDefault="00F93548">
      <w:pPr>
        <w:rPr>
          <w:color w:val="333333"/>
          <w:highlight w:val="white"/>
        </w:rPr>
      </w:pPr>
      <w:r w:rsidRPr="00F93548">
        <w:rPr>
          <w:color w:val="333333"/>
          <w:highlight w:val="white"/>
        </w:rPr>
        <w:lastRenderedPageBreak/>
        <w:t>A continuación, se realizará la correspondiente comprobación de los supuestos para el modelo obtenido:</w:t>
      </w:r>
    </w:p>
    <w:p w14:paraId="60E5B068" w14:textId="77777777" w:rsidR="003C189C" w:rsidRDefault="003C189C">
      <w:pPr>
        <w:rPr>
          <w:color w:val="333333"/>
          <w:highlight w:val="white"/>
        </w:rPr>
      </w:pPr>
    </w:p>
    <w:tbl>
      <w:tblPr>
        <w:tblStyle w:val="a1"/>
        <w:tblW w:w="649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gridCol w:w="2505"/>
        <w:gridCol w:w="1125"/>
      </w:tblGrid>
      <w:tr w:rsidR="003C189C" w14:paraId="62A5CE7F" w14:textId="77777777" w:rsidTr="00EF58CE">
        <w:trPr>
          <w:jc w:val="center"/>
        </w:trPr>
        <w:tc>
          <w:tcPr>
            <w:tcW w:w="2865" w:type="dxa"/>
            <w:shd w:val="clear" w:color="auto" w:fill="auto"/>
            <w:tcMar>
              <w:top w:w="100" w:type="dxa"/>
              <w:left w:w="100" w:type="dxa"/>
              <w:bottom w:w="100" w:type="dxa"/>
              <w:right w:w="100" w:type="dxa"/>
            </w:tcMar>
          </w:tcPr>
          <w:p w14:paraId="66AD6A42" w14:textId="77777777" w:rsidR="003C189C" w:rsidRDefault="00E94F63" w:rsidP="00EF58CE">
            <w:pPr>
              <w:widowControl w:val="0"/>
              <w:pBdr>
                <w:top w:val="nil"/>
                <w:left w:val="nil"/>
                <w:bottom w:val="nil"/>
                <w:right w:val="nil"/>
                <w:between w:val="nil"/>
              </w:pBdr>
              <w:spacing w:line="240" w:lineRule="auto"/>
              <w:jc w:val="center"/>
              <w:rPr>
                <w:b/>
                <w:color w:val="333333"/>
                <w:highlight w:val="white"/>
              </w:rPr>
            </w:pPr>
            <w:r>
              <w:rPr>
                <w:b/>
                <w:color w:val="333333"/>
                <w:highlight w:val="white"/>
              </w:rPr>
              <w:t>Supuesto</w:t>
            </w:r>
          </w:p>
        </w:tc>
        <w:tc>
          <w:tcPr>
            <w:tcW w:w="2505" w:type="dxa"/>
            <w:shd w:val="clear" w:color="auto" w:fill="auto"/>
            <w:tcMar>
              <w:top w:w="100" w:type="dxa"/>
              <w:left w:w="100" w:type="dxa"/>
              <w:bottom w:w="100" w:type="dxa"/>
              <w:right w:w="100" w:type="dxa"/>
            </w:tcMar>
          </w:tcPr>
          <w:p w14:paraId="25D25612" w14:textId="77777777" w:rsidR="003C189C" w:rsidRDefault="00E94F63" w:rsidP="00EF58CE">
            <w:pPr>
              <w:widowControl w:val="0"/>
              <w:pBdr>
                <w:top w:val="nil"/>
                <w:left w:val="nil"/>
                <w:bottom w:val="nil"/>
                <w:right w:val="nil"/>
                <w:between w:val="nil"/>
              </w:pBdr>
              <w:spacing w:line="240" w:lineRule="auto"/>
              <w:jc w:val="center"/>
              <w:rPr>
                <w:b/>
                <w:color w:val="333333"/>
                <w:highlight w:val="white"/>
              </w:rPr>
            </w:pPr>
            <w:r>
              <w:rPr>
                <w:b/>
                <w:color w:val="333333"/>
                <w:highlight w:val="white"/>
              </w:rPr>
              <w:t>Prueba</w:t>
            </w:r>
          </w:p>
        </w:tc>
        <w:tc>
          <w:tcPr>
            <w:tcW w:w="1125" w:type="dxa"/>
            <w:shd w:val="clear" w:color="auto" w:fill="auto"/>
            <w:tcMar>
              <w:top w:w="100" w:type="dxa"/>
              <w:left w:w="100" w:type="dxa"/>
              <w:bottom w:w="100" w:type="dxa"/>
              <w:right w:w="100" w:type="dxa"/>
            </w:tcMar>
          </w:tcPr>
          <w:p w14:paraId="113CC031" w14:textId="77777777" w:rsidR="003C189C" w:rsidRDefault="00E94F63" w:rsidP="00EF58CE">
            <w:pPr>
              <w:widowControl w:val="0"/>
              <w:pBdr>
                <w:top w:val="nil"/>
                <w:left w:val="nil"/>
                <w:bottom w:val="nil"/>
                <w:right w:val="nil"/>
                <w:between w:val="nil"/>
              </w:pBdr>
              <w:spacing w:line="240" w:lineRule="auto"/>
              <w:jc w:val="center"/>
              <w:rPr>
                <w:b/>
                <w:color w:val="333333"/>
                <w:highlight w:val="white"/>
              </w:rPr>
            </w:pPr>
            <w:r>
              <w:rPr>
                <w:b/>
                <w:color w:val="333333"/>
                <w:highlight w:val="white"/>
              </w:rPr>
              <w:t>Valores</w:t>
            </w:r>
          </w:p>
        </w:tc>
      </w:tr>
      <w:tr w:rsidR="003C189C" w14:paraId="2FDD0188" w14:textId="77777777" w:rsidTr="00EF58CE">
        <w:trPr>
          <w:jc w:val="center"/>
        </w:trPr>
        <w:tc>
          <w:tcPr>
            <w:tcW w:w="2865" w:type="dxa"/>
            <w:shd w:val="clear" w:color="auto" w:fill="auto"/>
            <w:tcMar>
              <w:top w:w="100" w:type="dxa"/>
              <w:left w:w="100" w:type="dxa"/>
              <w:bottom w:w="100" w:type="dxa"/>
              <w:right w:w="100" w:type="dxa"/>
            </w:tcMar>
          </w:tcPr>
          <w:p w14:paraId="0DEFCEE8" w14:textId="77777777" w:rsidR="003C189C" w:rsidRDefault="00E94F63" w:rsidP="00EF58CE">
            <w:pPr>
              <w:widowControl w:val="0"/>
              <w:pBdr>
                <w:top w:val="nil"/>
                <w:left w:val="nil"/>
                <w:bottom w:val="nil"/>
                <w:right w:val="nil"/>
                <w:between w:val="nil"/>
              </w:pBdr>
              <w:spacing w:line="240" w:lineRule="auto"/>
              <w:jc w:val="center"/>
              <w:rPr>
                <w:color w:val="333333"/>
                <w:highlight w:val="white"/>
              </w:rPr>
            </w:pPr>
            <w:r>
              <w:rPr>
                <w:color w:val="333333"/>
                <w:highlight w:val="white"/>
              </w:rPr>
              <w:t>Normalidad de Residuos</w:t>
            </w:r>
          </w:p>
        </w:tc>
        <w:tc>
          <w:tcPr>
            <w:tcW w:w="2505" w:type="dxa"/>
            <w:shd w:val="clear" w:color="auto" w:fill="auto"/>
            <w:tcMar>
              <w:top w:w="100" w:type="dxa"/>
              <w:left w:w="100" w:type="dxa"/>
              <w:bottom w:w="100" w:type="dxa"/>
              <w:right w:w="100" w:type="dxa"/>
            </w:tcMar>
          </w:tcPr>
          <w:p w14:paraId="43E15BEB" w14:textId="77777777" w:rsidR="003C189C" w:rsidRDefault="00E94F63" w:rsidP="00EF58CE">
            <w:pPr>
              <w:widowControl w:val="0"/>
              <w:pBdr>
                <w:top w:val="nil"/>
                <w:left w:val="nil"/>
                <w:bottom w:val="nil"/>
                <w:right w:val="nil"/>
                <w:between w:val="nil"/>
              </w:pBdr>
              <w:spacing w:line="240" w:lineRule="auto"/>
              <w:jc w:val="center"/>
              <w:rPr>
                <w:color w:val="333333"/>
                <w:highlight w:val="white"/>
              </w:rPr>
            </w:pPr>
            <w:r>
              <w:rPr>
                <w:color w:val="333333"/>
                <w:highlight w:val="white"/>
              </w:rPr>
              <w:t>Test Jarque - Vera</w:t>
            </w:r>
          </w:p>
        </w:tc>
        <w:tc>
          <w:tcPr>
            <w:tcW w:w="1125" w:type="dxa"/>
            <w:shd w:val="clear" w:color="auto" w:fill="auto"/>
            <w:tcMar>
              <w:top w:w="100" w:type="dxa"/>
              <w:left w:w="100" w:type="dxa"/>
              <w:bottom w:w="100" w:type="dxa"/>
              <w:right w:w="100" w:type="dxa"/>
            </w:tcMar>
          </w:tcPr>
          <w:p w14:paraId="379024B5" w14:textId="77777777" w:rsidR="003C189C" w:rsidRDefault="00E94F63" w:rsidP="00EF58CE">
            <w:pPr>
              <w:widowControl w:val="0"/>
              <w:pBdr>
                <w:top w:val="nil"/>
                <w:left w:val="nil"/>
                <w:bottom w:val="nil"/>
                <w:right w:val="nil"/>
                <w:between w:val="nil"/>
              </w:pBdr>
              <w:spacing w:line="240" w:lineRule="auto"/>
              <w:jc w:val="center"/>
              <w:rPr>
                <w:color w:val="333333"/>
                <w:highlight w:val="white"/>
              </w:rPr>
            </w:pPr>
            <w:r>
              <w:rPr>
                <w:color w:val="333333"/>
                <w:highlight w:val="white"/>
              </w:rPr>
              <w:t>0.2208</w:t>
            </w:r>
          </w:p>
        </w:tc>
      </w:tr>
      <w:tr w:rsidR="003C189C" w14:paraId="381D1D62" w14:textId="77777777" w:rsidTr="00EF58CE">
        <w:trPr>
          <w:jc w:val="center"/>
        </w:trPr>
        <w:tc>
          <w:tcPr>
            <w:tcW w:w="2865" w:type="dxa"/>
            <w:shd w:val="clear" w:color="auto" w:fill="auto"/>
            <w:tcMar>
              <w:top w:w="100" w:type="dxa"/>
              <w:left w:w="100" w:type="dxa"/>
              <w:bottom w:w="100" w:type="dxa"/>
              <w:right w:w="100" w:type="dxa"/>
            </w:tcMar>
          </w:tcPr>
          <w:p w14:paraId="4C9086B6" w14:textId="77777777" w:rsidR="003C189C" w:rsidRDefault="00E94F63" w:rsidP="00EF58CE">
            <w:pPr>
              <w:widowControl w:val="0"/>
              <w:pBdr>
                <w:top w:val="nil"/>
                <w:left w:val="nil"/>
                <w:bottom w:val="nil"/>
                <w:right w:val="nil"/>
                <w:between w:val="nil"/>
              </w:pBdr>
              <w:spacing w:line="240" w:lineRule="auto"/>
              <w:jc w:val="center"/>
              <w:rPr>
                <w:color w:val="333333"/>
                <w:highlight w:val="white"/>
              </w:rPr>
            </w:pPr>
            <w:r>
              <w:rPr>
                <w:color w:val="333333"/>
                <w:highlight w:val="white"/>
              </w:rPr>
              <w:t>Homocedasticidad</w:t>
            </w:r>
          </w:p>
        </w:tc>
        <w:tc>
          <w:tcPr>
            <w:tcW w:w="2505" w:type="dxa"/>
            <w:shd w:val="clear" w:color="auto" w:fill="auto"/>
            <w:tcMar>
              <w:top w:w="100" w:type="dxa"/>
              <w:left w:w="100" w:type="dxa"/>
              <w:bottom w:w="100" w:type="dxa"/>
              <w:right w:w="100" w:type="dxa"/>
            </w:tcMar>
          </w:tcPr>
          <w:p w14:paraId="5F8CD8D2" w14:textId="77777777" w:rsidR="003C189C" w:rsidRDefault="00E94F63" w:rsidP="00EF58CE">
            <w:pPr>
              <w:widowControl w:val="0"/>
              <w:pBdr>
                <w:top w:val="nil"/>
                <w:left w:val="nil"/>
                <w:bottom w:val="nil"/>
                <w:right w:val="nil"/>
                <w:between w:val="nil"/>
              </w:pBdr>
              <w:spacing w:line="240" w:lineRule="auto"/>
              <w:jc w:val="center"/>
              <w:rPr>
                <w:color w:val="333333"/>
                <w:highlight w:val="white"/>
              </w:rPr>
            </w:pPr>
            <w:r>
              <w:rPr>
                <w:color w:val="333333"/>
                <w:highlight w:val="white"/>
              </w:rPr>
              <w:t xml:space="preserve">Test </w:t>
            </w:r>
            <w:proofErr w:type="spellStart"/>
            <w:r>
              <w:rPr>
                <w:color w:val="333333"/>
                <w:highlight w:val="white"/>
              </w:rPr>
              <w:t>Breusch</w:t>
            </w:r>
            <w:proofErr w:type="spellEnd"/>
            <w:r>
              <w:rPr>
                <w:color w:val="333333"/>
                <w:highlight w:val="white"/>
              </w:rPr>
              <w:t xml:space="preserve"> - Pagan</w:t>
            </w:r>
          </w:p>
        </w:tc>
        <w:tc>
          <w:tcPr>
            <w:tcW w:w="1125" w:type="dxa"/>
            <w:shd w:val="clear" w:color="auto" w:fill="auto"/>
            <w:tcMar>
              <w:top w:w="100" w:type="dxa"/>
              <w:left w:w="100" w:type="dxa"/>
              <w:bottom w:w="100" w:type="dxa"/>
              <w:right w:w="100" w:type="dxa"/>
            </w:tcMar>
          </w:tcPr>
          <w:p w14:paraId="3966CEED" w14:textId="77777777" w:rsidR="003C189C" w:rsidRDefault="00E94F63" w:rsidP="00EF58CE">
            <w:pPr>
              <w:widowControl w:val="0"/>
              <w:pBdr>
                <w:top w:val="nil"/>
                <w:left w:val="nil"/>
                <w:bottom w:val="nil"/>
                <w:right w:val="nil"/>
                <w:between w:val="nil"/>
              </w:pBdr>
              <w:spacing w:line="240" w:lineRule="auto"/>
              <w:jc w:val="center"/>
              <w:rPr>
                <w:color w:val="333333"/>
                <w:highlight w:val="white"/>
              </w:rPr>
            </w:pPr>
            <w:r>
              <w:rPr>
                <w:color w:val="333333"/>
                <w:highlight w:val="white"/>
              </w:rPr>
              <w:t>0.5782</w:t>
            </w:r>
          </w:p>
        </w:tc>
      </w:tr>
      <w:tr w:rsidR="003C189C" w14:paraId="5AF40B91" w14:textId="77777777" w:rsidTr="00EF58CE">
        <w:trPr>
          <w:jc w:val="center"/>
        </w:trPr>
        <w:tc>
          <w:tcPr>
            <w:tcW w:w="2865" w:type="dxa"/>
            <w:shd w:val="clear" w:color="auto" w:fill="auto"/>
            <w:tcMar>
              <w:top w:w="100" w:type="dxa"/>
              <w:left w:w="100" w:type="dxa"/>
              <w:bottom w:w="100" w:type="dxa"/>
              <w:right w:w="100" w:type="dxa"/>
            </w:tcMar>
          </w:tcPr>
          <w:p w14:paraId="4FFD16C9" w14:textId="77777777" w:rsidR="003C189C" w:rsidRDefault="00E94F63" w:rsidP="00EF58CE">
            <w:pPr>
              <w:widowControl w:val="0"/>
              <w:pBdr>
                <w:top w:val="nil"/>
                <w:left w:val="nil"/>
                <w:bottom w:val="nil"/>
                <w:right w:val="nil"/>
                <w:between w:val="nil"/>
              </w:pBdr>
              <w:spacing w:line="240" w:lineRule="auto"/>
              <w:jc w:val="center"/>
              <w:rPr>
                <w:color w:val="333333"/>
                <w:highlight w:val="white"/>
              </w:rPr>
            </w:pPr>
            <w:r>
              <w:rPr>
                <w:color w:val="333333"/>
                <w:highlight w:val="white"/>
              </w:rPr>
              <w:t>Covariancia Residuos</w:t>
            </w:r>
          </w:p>
        </w:tc>
        <w:tc>
          <w:tcPr>
            <w:tcW w:w="2505" w:type="dxa"/>
            <w:shd w:val="clear" w:color="auto" w:fill="auto"/>
            <w:tcMar>
              <w:top w:w="100" w:type="dxa"/>
              <w:left w:w="100" w:type="dxa"/>
              <w:bottom w:w="100" w:type="dxa"/>
              <w:right w:w="100" w:type="dxa"/>
            </w:tcMar>
          </w:tcPr>
          <w:p w14:paraId="3B600339" w14:textId="77777777" w:rsidR="003C189C" w:rsidRDefault="00E94F63" w:rsidP="00EF58CE">
            <w:pPr>
              <w:widowControl w:val="0"/>
              <w:pBdr>
                <w:top w:val="nil"/>
                <w:left w:val="nil"/>
                <w:bottom w:val="nil"/>
                <w:right w:val="nil"/>
                <w:between w:val="nil"/>
              </w:pBdr>
              <w:spacing w:line="240" w:lineRule="auto"/>
              <w:jc w:val="center"/>
              <w:rPr>
                <w:color w:val="333333"/>
                <w:highlight w:val="white"/>
              </w:rPr>
            </w:pPr>
            <w:r>
              <w:rPr>
                <w:color w:val="333333"/>
                <w:highlight w:val="white"/>
              </w:rPr>
              <w:t>Test Durbin - Watson</w:t>
            </w:r>
          </w:p>
        </w:tc>
        <w:tc>
          <w:tcPr>
            <w:tcW w:w="1125" w:type="dxa"/>
            <w:shd w:val="clear" w:color="auto" w:fill="auto"/>
            <w:tcMar>
              <w:top w:w="100" w:type="dxa"/>
              <w:left w:w="100" w:type="dxa"/>
              <w:bottom w:w="100" w:type="dxa"/>
              <w:right w:w="100" w:type="dxa"/>
            </w:tcMar>
          </w:tcPr>
          <w:p w14:paraId="6D687241" w14:textId="77777777" w:rsidR="003C189C" w:rsidRDefault="00E94F63" w:rsidP="00EF58CE">
            <w:pPr>
              <w:keepNext/>
              <w:widowControl w:val="0"/>
              <w:pBdr>
                <w:top w:val="nil"/>
                <w:left w:val="nil"/>
                <w:bottom w:val="nil"/>
                <w:right w:val="nil"/>
                <w:between w:val="nil"/>
              </w:pBdr>
              <w:spacing w:line="240" w:lineRule="auto"/>
              <w:jc w:val="center"/>
              <w:rPr>
                <w:color w:val="333333"/>
                <w:highlight w:val="white"/>
              </w:rPr>
            </w:pPr>
            <w:r>
              <w:rPr>
                <w:color w:val="333333"/>
                <w:highlight w:val="white"/>
              </w:rPr>
              <w:t>0.3084</w:t>
            </w:r>
          </w:p>
        </w:tc>
      </w:tr>
    </w:tbl>
    <w:p w14:paraId="5F6C9F80" w14:textId="2E3A6A07" w:rsidR="003C189C" w:rsidRPr="00EF58CE" w:rsidRDefault="00EF58CE" w:rsidP="00EF58CE">
      <w:pPr>
        <w:pStyle w:val="Descripcin"/>
        <w:jc w:val="center"/>
        <w:rPr>
          <w:color w:val="auto"/>
          <w:highlight w:val="white"/>
        </w:rPr>
      </w:pPr>
      <w:r w:rsidRPr="00EF58CE">
        <w:rPr>
          <w:color w:val="auto"/>
        </w:rPr>
        <w:t xml:space="preserve">Tabla </w:t>
      </w:r>
      <w:r w:rsidRPr="00EF58CE">
        <w:rPr>
          <w:color w:val="auto"/>
        </w:rPr>
        <w:fldChar w:fldCharType="begin"/>
      </w:r>
      <w:r w:rsidRPr="00EF58CE">
        <w:rPr>
          <w:color w:val="auto"/>
        </w:rPr>
        <w:instrText xml:space="preserve"> SEQ Tabla \* ARABIC </w:instrText>
      </w:r>
      <w:r w:rsidRPr="00EF58CE">
        <w:rPr>
          <w:color w:val="auto"/>
        </w:rPr>
        <w:fldChar w:fldCharType="separate"/>
      </w:r>
      <w:r w:rsidR="00BF0F19">
        <w:rPr>
          <w:noProof/>
          <w:color w:val="auto"/>
        </w:rPr>
        <w:t>3</w:t>
      </w:r>
      <w:r w:rsidRPr="00EF58CE">
        <w:rPr>
          <w:color w:val="auto"/>
        </w:rPr>
        <w:fldChar w:fldCharType="end"/>
      </w:r>
      <w:r w:rsidRPr="00EF58CE">
        <w:rPr>
          <w:color w:val="auto"/>
        </w:rPr>
        <w:t>: Comprobación de los supuestos.</w:t>
      </w:r>
    </w:p>
    <w:p w14:paraId="652FEBEE" w14:textId="77777777" w:rsidR="003C189C" w:rsidRDefault="003C189C">
      <w:pPr>
        <w:rPr>
          <w:color w:val="333333"/>
          <w:highlight w:val="white"/>
        </w:rPr>
      </w:pPr>
    </w:p>
    <w:p w14:paraId="7A7B0204" w14:textId="77777777" w:rsidR="003C189C" w:rsidRDefault="00BA5360">
      <w:pPr>
        <w:rPr>
          <w:color w:val="333333"/>
          <w:highlight w:val="white"/>
        </w:rPr>
      </w:pPr>
      <w:r>
        <w:rPr>
          <w:color w:val="333333"/>
          <w:highlight w:val="white"/>
        </w:rPr>
        <w:t>La tabla 3 nos muestra que, efectivamente, se cumplen los supuestos de normalidad, homocedasticidad y covarianza cero de los residuos del modelo de regresión.</w:t>
      </w:r>
      <w:r w:rsidR="00107064">
        <w:rPr>
          <w:color w:val="333333"/>
          <w:highlight w:val="white"/>
        </w:rPr>
        <w:t xml:space="preserve"> </w:t>
      </w:r>
      <w:r w:rsidR="00F93548">
        <w:rPr>
          <w:color w:val="333333"/>
          <w:highlight w:val="white"/>
        </w:rPr>
        <w:t>Así, el modelo parece ser robusto y acorde a las necesidades de predicción de suicidios en países con mayores ingresos</w:t>
      </w:r>
    </w:p>
    <w:p w14:paraId="5C095D9F" w14:textId="77777777" w:rsidR="003C189C" w:rsidRDefault="003C189C">
      <w:pPr>
        <w:rPr>
          <w:color w:val="333333"/>
          <w:sz w:val="27"/>
          <w:szCs w:val="27"/>
          <w:highlight w:val="white"/>
        </w:rPr>
      </w:pPr>
    </w:p>
    <w:p w14:paraId="6E597480" w14:textId="77777777" w:rsidR="00BA5360" w:rsidRPr="00281AEC" w:rsidRDefault="00BA5360" w:rsidP="00BA5360">
      <w:pPr>
        <w:rPr>
          <w:b/>
          <w:color w:val="333333"/>
          <w:highlight w:val="white"/>
        </w:rPr>
      </w:pPr>
      <w:r w:rsidRPr="00281AEC">
        <w:rPr>
          <w:b/>
          <w:color w:val="333333"/>
          <w:sz w:val="27"/>
          <w:szCs w:val="27"/>
          <w:highlight w:val="white"/>
        </w:rPr>
        <w:t>Conclusiones</w:t>
      </w:r>
    </w:p>
    <w:p w14:paraId="78D7473C" w14:textId="77777777" w:rsidR="00BA5360" w:rsidRDefault="00BA5360" w:rsidP="00BA5360">
      <w:pPr>
        <w:rPr>
          <w:color w:val="333333"/>
          <w:highlight w:val="white"/>
        </w:rPr>
      </w:pPr>
    </w:p>
    <w:p w14:paraId="75D4C8FF" w14:textId="77777777" w:rsidR="00BA5360" w:rsidRDefault="00BA5360" w:rsidP="00BA5360">
      <w:pPr>
        <w:jc w:val="both"/>
        <w:rPr>
          <w:color w:val="333333"/>
          <w:highlight w:val="white"/>
        </w:rPr>
      </w:pPr>
      <w:r>
        <w:rPr>
          <w:color w:val="333333"/>
          <w:highlight w:val="white"/>
        </w:rPr>
        <w:t xml:space="preserve">Como primera observación, no se evidenciaron diferencias en el número total de suicidios entre países con alta y baja calidad de vida, lo cual puede indicar en primera instancia una deficiencia notable en las políticas públicas de prevención y control de intentos de suicidios y suicidios consumados en países con alta calidad de vida. </w:t>
      </w:r>
    </w:p>
    <w:p w14:paraId="7F2FD6BE" w14:textId="77777777" w:rsidR="00BA5360" w:rsidRDefault="00BA5360" w:rsidP="00BA5360">
      <w:pPr>
        <w:ind w:left="720"/>
        <w:jc w:val="both"/>
        <w:rPr>
          <w:color w:val="333333"/>
          <w:highlight w:val="white"/>
        </w:rPr>
      </w:pPr>
    </w:p>
    <w:p w14:paraId="694E3DD1" w14:textId="77777777" w:rsidR="00BA5360" w:rsidRDefault="00BA5360" w:rsidP="00BA5360">
      <w:pPr>
        <w:jc w:val="both"/>
      </w:pPr>
      <w:r>
        <w:rPr>
          <w:color w:val="333333"/>
          <w:highlight w:val="white"/>
        </w:rPr>
        <w:t>Por otro lado. Se observa, mediante el análisis de lo betas de la regresión lineal múltiple aplicada, que los países donde las condiciones económicas son buenas, al igual que un sistema político confiable, donde su población es generosa, y la importancia de la familia como fuente de felicidad es buena, el número de suicidios disminuye, lo cual contradice el comportamiento de la variable</w:t>
      </w:r>
      <w:r>
        <w:rPr>
          <w:color w:val="333333"/>
          <w:sz w:val="27"/>
          <w:szCs w:val="27"/>
          <w:highlight w:val="white"/>
        </w:rPr>
        <w:t xml:space="preserve"> </w:t>
      </w:r>
      <w:r>
        <w:t>Puntaje de felicidad por país, donde el número de suicidios aumenta, esto permite concluir que estas variables no explican correctamente dicho puntaje</w:t>
      </w:r>
      <w:r w:rsidR="00F93548">
        <w:t>. Además,</w:t>
      </w:r>
      <w:r>
        <w:t xml:space="preserve"> se pu</w:t>
      </w:r>
      <w:r w:rsidR="00F93548">
        <w:t>do</w:t>
      </w:r>
      <w:r>
        <w:t xml:space="preserve"> evidenciar por medio de la función </w:t>
      </w:r>
      <w:proofErr w:type="spellStart"/>
      <w:proofErr w:type="gramStart"/>
      <w:r>
        <w:t>vif</w:t>
      </w:r>
      <w:proofErr w:type="spellEnd"/>
      <w:r>
        <w:t>(</w:t>
      </w:r>
      <w:proofErr w:type="gramEnd"/>
      <w:r>
        <w:t>) de R, la cual mid</w:t>
      </w:r>
      <w:r w:rsidR="00F93548">
        <w:t>ió</w:t>
      </w:r>
      <w:r>
        <w:t xml:space="preserve"> el factor de inflación de </w:t>
      </w:r>
      <w:r w:rsidR="00F93548">
        <w:t xml:space="preserve">la </w:t>
      </w:r>
      <w:r>
        <w:t xml:space="preserve">varianza de los coeficientes de la regresión aplicada, donde este puntaje presenta problemas de colinealidad. </w:t>
      </w:r>
    </w:p>
    <w:p w14:paraId="79A6726F" w14:textId="77777777" w:rsidR="00BA5360" w:rsidRDefault="00BA5360">
      <w:pPr>
        <w:rPr>
          <w:color w:val="333333"/>
          <w:sz w:val="27"/>
          <w:szCs w:val="27"/>
          <w:highlight w:val="white"/>
        </w:rPr>
      </w:pPr>
    </w:p>
    <w:p w14:paraId="018101AB" w14:textId="77777777" w:rsidR="00F93548" w:rsidRPr="00F93548" w:rsidRDefault="00F93548">
      <w:pPr>
        <w:rPr>
          <w:color w:val="333333"/>
          <w:szCs w:val="27"/>
          <w:highlight w:val="white"/>
        </w:rPr>
      </w:pPr>
      <w:r w:rsidRPr="00F93548">
        <w:rPr>
          <w:color w:val="333333"/>
          <w:szCs w:val="27"/>
          <w:highlight w:val="white"/>
        </w:rPr>
        <w:t>Finalmente, se observó que variables como la expectativa de vida por país parece no ser muy significativa a la hora de predecir su número de suicidios. Sin embargo, puede ocurrir que este parámetro pueda ser significativo en otro tipo de modelos, ya que es un indicador de bienestar de país bastante importante.</w:t>
      </w:r>
    </w:p>
    <w:p w14:paraId="4D299B9E" w14:textId="77777777" w:rsidR="003C189C" w:rsidRDefault="003C189C">
      <w:pPr>
        <w:rPr>
          <w:color w:val="333333"/>
          <w:sz w:val="27"/>
          <w:szCs w:val="27"/>
          <w:highlight w:val="white"/>
        </w:rPr>
      </w:pPr>
    </w:p>
    <w:p w14:paraId="5043D377" w14:textId="77777777" w:rsidR="003C189C" w:rsidRDefault="00E94F63">
      <w:pPr>
        <w:rPr>
          <w:b/>
          <w:color w:val="333333"/>
          <w:highlight w:val="white"/>
        </w:rPr>
      </w:pPr>
      <w:r>
        <w:rPr>
          <w:b/>
          <w:color w:val="333333"/>
          <w:highlight w:val="white"/>
        </w:rPr>
        <w:t>Referencias</w:t>
      </w:r>
    </w:p>
    <w:p w14:paraId="55146415" w14:textId="77777777" w:rsidR="003C189C" w:rsidRDefault="003C189C">
      <w:pPr>
        <w:rPr>
          <w:b/>
          <w:color w:val="333333"/>
          <w:sz w:val="27"/>
          <w:szCs w:val="27"/>
          <w:highlight w:val="white"/>
        </w:rPr>
      </w:pPr>
    </w:p>
    <w:p w14:paraId="0A504A08" w14:textId="77777777" w:rsidR="003C189C" w:rsidRDefault="00E94F63">
      <w:pPr>
        <w:rPr>
          <w:color w:val="333333"/>
          <w:highlight w:val="white"/>
        </w:rPr>
      </w:pPr>
      <w:proofErr w:type="spellStart"/>
      <w:r>
        <w:rPr>
          <w:color w:val="333333"/>
          <w:highlight w:val="white"/>
        </w:rPr>
        <w:t>Gerstner</w:t>
      </w:r>
      <w:proofErr w:type="spellEnd"/>
      <w:r>
        <w:rPr>
          <w:color w:val="333333"/>
          <w:highlight w:val="white"/>
        </w:rPr>
        <w:t xml:space="preserve">, R., Lara, F. (2019). </w:t>
      </w:r>
      <w:r>
        <w:rPr>
          <w:i/>
          <w:color w:val="333333"/>
          <w:highlight w:val="white"/>
        </w:rPr>
        <w:t xml:space="preserve">Análisis de tendencias temporales del suicidio en niños, adolescentes y adultos jóvenes en Ecuador entre 1990 y 2017. </w:t>
      </w:r>
      <w:r>
        <w:rPr>
          <w:color w:val="333333"/>
          <w:highlight w:val="white"/>
        </w:rPr>
        <w:t>Pontificia Universidad Católica del Ecuador. Sede Santo Domingo.</w:t>
      </w:r>
    </w:p>
    <w:p w14:paraId="4534C490" w14:textId="77777777" w:rsidR="00860F30" w:rsidRDefault="00860F30">
      <w:pPr>
        <w:rPr>
          <w:color w:val="333333"/>
          <w:highlight w:val="white"/>
        </w:rPr>
      </w:pPr>
    </w:p>
    <w:p w14:paraId="14658FDF" w14:textId="77777777" w:rsidR="00860F30" w:rsidRPr="00DD53CF" w:rsidRDefault="00860F30" w:rsidP="00860F30">
      <w:pPr>
        <w:rPr>
          <w:color w:val="333333"/>
          <w:highlight w:val="white"/>
          <w:lang w:val="en-US"/>
        </w:rPr>
      </w:pPr>
      <w:proofErr w:type="spellStart"/>
      <w:r>
        <w:rPr>
          <w:color w:val="333333"/>
          <w:highlight w:val="white"/>
        </w:rPr>
        <w:lastRenderedPageBreak/>
        <w:t>Kõlves</w:t>
      </w:r>
      <w:proofErr w:type="spellEnd"/>
      <w:r>
        <w:rPr>
          <w:color w:val="333333"/>
          <w:highlight w:val="white"/>
        </w:rPr>
        <w:t xml:space="preserve"> K, De Leo D. (2014). </w:t>
      </w:r>
      <w:r w:rsidRPr="00DD53CF">
        <w:rPr>
          <w:i/>
          <w:color w:val="333333"/>
          <w:highlight w:val="white"/>
          <w:lang w:val="en-US"/>
        </w:rPr>
        <w:t>Regions with the highest suicide rates for children and adolescents - some observations</w:t>
      </w:r>
      <w:r w:rsidRPr="00DD53CF">
        <w:rPr>
          <w:color w:val="333333"/>
          <w:highlight w:val="white"/>
          <w:lang w:val="en-US"/>
        </w:rPr>
        <w:t xml:space="preserve">. J Child </w:t>
      </w:r>
      <w:proofErr w:type="spellStart"/>
      <w:r w:rsidRPr="00DD53CF">
        <w:rPr>
          <w:color w:val="333333"/>
          <w:highlight w:val="white"/>
          <w:lang w:val="en-US"/>
        </w:rPr>
        <w:t>Adolesc</w:t>
      </w:r>
      <w:proofErr w:type="spellEnd"/>
      <w:r w:rsidRPr="00DD53CF">
        <w:rPr>
          <w:color w:val="333333"/>
          <w:highlight w:val="white"/>
          <w:lang w:val="en-US"/>
        </w:rPr>
        <w:t xml:space="preserve"> </w:t>
      </w:r>
      <w:proofErr w:type="spellStart"/>
      <w:r w:rsidRPr="00DD53CF">
        <w:rPr>
          <w:color w:val="333333"/>
          <w:highlight w:val="white"/>
          <w:lang w:val="en-US"/>
        </w:rPr>
        <w:t>Behav</w:t>
      </w:r>
      <w:proofErr w:type="spellEnd"/>
      <w:r w:rsidRPr="00DD53CF">
        <w:rPr>
          <w:color w:val="333333"/>
          <w:highlight w:val="white"/>
          <w:lang w:val="en-US"/>
        </w:rPr>
        <w:t xml:space="preserve"> 2014. Taken from https://doi.org/10.4172/jcalb.1000e104</w:t>
      </w:r>
    </w:p>
    <w:p w14:paraId="174D2366" w14:textId="77777777" w:rsidR="00860F30" w:rsidRPr="00860F30" w:rsidRDefault="00860F30">
      <w:pPr>
        <w:rPr>
          <w:color w:val="333333"/>
          <w:highlight w:val="white"/>
          <w:lang w:val="en-US"/>
        </w:rPr>
      </w:pPr>
    </w:p>
    <w:p w14:paraId="0553BB2D" w14:textId="77777777" w:rsidR="00860F30" w:rsidRDefault="00860F30" w:rsidP="00860F30">
      <w:pPr>
        <w:rPr>
          <w:color w:val="333333"/>
          <w:highlight w:val="white"/>
        </w:rPr>
      </w:pPr>
      <w:r>
        <w:rPr>
          <w:color w:val="333333"/>
          <w:highlight w:val="white"/>
        </w:rPr>
        <w:t xml:space="preserve">Organización Mundial de la Salud (2014). </w:t>
      </w:r>
      <w:r>
        <w:rPr>
          <w:i/>
          <w:color w:val="333333"/>
          <w:highlight w:val="white"/>
        </w:rPr>
        <w:t xml:space="preserve">Prevención del Suicidio: Un imperativo global. </w:t>
      </w:r>
      <w:r>
        <w:rPr>
          <w:color w:val="333333"/>
          <w:highlight w:val="white"/>
        </w:rPr>
        <w:t xml:space="preserve">Washington DC: Organización Panamericana de la Salud 2014. Disponible en: </w:t>
      </w:r>
      <w:hyperlink r:id="rId7">
        <w:r>
          <w:rPr>
            <w:color w:val="1155CC"/>
            <w:highlight w:val="white"/>
            <w:u w:val="single"/>
          </w:rPr>
          <w:t>http://www.who.int/mental_health/suicide-prevention/world_report_2014/es</w:t>
        </w:r>
      </w:hyperlink>
      <w:r>
        <w:rPr>
          <w:color w:val="333333"/>
          <w:highlight w:val="white"/>
        </w:rPr>
        <w:t xml:space="preserve"> Consultado el 20 de octubre del 2016.</w:t>
      </w:r>
    </w:p>
    <w:p w14:paraId="78406CE2" w14:textId="77777777" w:rsidR="00860F30" w:rsidRDefault="00860F30">
      <w:pPr>
        <w:rPr>
          <w:color w:val="333333"/>
          <w:highlight w:val="white"/>
        </w:rPr>
      </w:pPr>
    </w:p>
    <w:p w14:paraId="5A9E1B80" w14:textId="77777777" w:rsidR="00860F30" w:rsidRPr="001360CE" w:rsidRDefault="00860F30" w:rsidP="00860F30">
      <w:pPr>
        <w:rPr>
          <w:color w:val="333333"/>
          <w:highlight w:val="white"/>
          <w:lang w:val="en-US"/>
        </w:rPr>
      </w:pPr>
      <w:r w:rsidRPr="00DD53CF">
        <w:rPr>
          <w:color w:val="333333"/>
          <w:highlight w:val="white"/>
          <w:lang w:val="en-US"/>
        </w:rPr>
        <w:t xml:space="preserve">Payne S, Swami V, Stanistreet DL. (2007). </w:t>
      </w:r>
      <w:r w:rsidRPr="00DD53CF">
        <w:rPr>
          <w:i/>
          <w:color w:val="333333"/>
          <w:highlight w:val="white"/>
          <w:lang w:val="en-US"/>
        </w:rPr>
        <w:t>The social construction of gender and its influence on suicide: a review of the literature</w:t>
      </w:r>
      <w:r w:rsidRPr="00DD53CF">
        <w:rPr>
          <w:color w:val="333333"/>
          <w:highlight w:val="white"/>
          <w:lang w:val="en-US"/>
        </w:rPr>
        <w:t xml:space="preserve">. </w:t>
      </w:r>
      <w:r w:rsidRPr="001360CE">
        <w:rPr>
          <w:color w:val="333333"/>
          <w:highlight w:val="white"/>
          <w:lang w:val="en-US"/>
        </w:rPr>
        <w:t xml:space="preserve">J </w:t>
      </w:r>
      <w:proofErr w:type="spellStart"/>
      <w:r w:rsidRPr="001360CE">
        <w:rPr>
          <w:color w:val="333333"/>
          <w:highlight w:val="white"/>
          <w:lang w:val="en-US"/>
        </w:rPr>
        <w:t>Mens</w:t>
      </w:r>
      <w:proofErr w:type="spellEnd"/>
      <w:r w:rsidRPr="001360CE">
        <w:rPr>
          <w:color w:val="333333"/>
          <w:highlight w:val="white"/>
          <w:lang w:val="en-US"/>
        </w:rPr>
        <w:t xml:space="preserve"> Health 2008; 5: 23-35. https://doi.org/10.1016/j.jomh.2007.11.002</w:t>
      </w:r>
    </w:p>
    <w:p w14:paraId="7E91F203" w14:textId="77777777" w:rsidR="00860F30" w:rsidRPr="001360CE" w:rsidRDefault="00860F30">
      <w:pPr>
        <w:rPr>
          <w:color w:val="333333"/>
          <w:highlight w:val="white"/>
          <w:lang w:val="en-US"/>
        </w:rPr>
      </w:pPr>
    </w:p>
    <w:p w14:paraId="3FFE483D" w14:textId="77777777" w:rsidR="003C189C" w:rsidRPr="00DD53CF" w:rsidRDefault="00E94F63">
      <w:pPr>
        <w:rPr>
          <w:color w:val="333333"/>
          <w:highlight w:val="white"/>
          <w:lang w:val="en-US"/>
        </w:rPr>
      </w:pPr>
      <w:proofErr w:type="spellStart"/>
      <w:r w:rsidRPr="00860F30">
        <w:rPr>
          <w:color w:val="333333"/>
          <w:highlight w:val="white"/>
          <w:lang w:val="en-US"/>
        </w:rPr>
        <w:t>Schrijvers</w:t>
      </w:r>
      <w:proofErr w:type="spellEnd"/>
      <w:r w:rsidRPr="00860F30">
        <w:rPr>
          <w:color w:val="333333"/>
          <w:highlight w:val="white"/>
          <w:lang w:val="en-US"/>
        </w:rPr>
        <w:t xml:space="preserve"> DL, </w:t>
      </w:r>
      <w:proofErr w:type="spellStart"/>
      <w:r w:rsidRPr="00860F30">
        <w:rPr>
          <w:color w:val="333333"/>
          <w:highlight w:val="white"/>
          <w:lang w:val="en-US"/>
        </w:rPr>
        <w:t>Bollen</w:t>
      </w:r>
      <w:proofErr w:type="spellEnd"/>
      <w:r w:rsidRPr="00860F30">
        <w:rPr>
          <w:color w:val="333333"/>
          <w:highlight w:val="white"/>
          <w:lang w:val="en-US"/>
        </w:rPr>
        <w:t xml:space="preserve"> J, </w:t>
      </w:r>
      <w:proofErr w:type="spellStart"/>
      <w:r w:rsidRPr="00860F30">
        <w:rPr>
          <w:color w:val="333333"/>
          <w:highlight w:val="white"/>
          <w:lang w:val="en-US"/>
        </w:rPr>
        <w:t>Sabbe</w:t>
      </w:r>
      <w:proofErr w:type="spellEnd"/>
      <w:r w:rsidRPr="00860F30">
        <w:rPr>
          <w:color w:val="333333"/>
          <w:highlight w:val="white"/>
          <w:lang w:val="en-US"/>
        </w:rPr>
        <w:t xml:space="preserve"> BG (2012). </w:t>
      </w:r>
      <w:r w:rsidRPr="00DD53CF">
        <w:rPr>
          <w:i/>
          <w:color w:val="333333"/>
          <w:highlight w:val="white"/>
          <w:lang w:val="en-US"/>
        </w:rPr>
        <w:t>The gender paradox in suicidal behavior and its impact on the suicidal process</w:t>
      </w:r>
      <w:r w:rsidRPr="00DD53CF">
        <w:rPr>
          <w:color w:val="333333"/>
          <w:highlight w:val="white"/>
          <w:lang w:val="en-US"/>
        </w:rPr>
        <w:t xml:space="preserve">. J Affect </w:t>
      </w:r>
      <w:proofErr w:type="spellStart"/>
      <w:r w:rsidRPr="00DD53CF">
        <w:rPr>
          <w:color w:val="333333"/>
          <w:highlight w:val="white"/>
          <w:lang w:val="en-US"/>
        </w:rPr>
        <w:t>Disord</w:t>
      </w:r>
      <w:proofErr w:type="spellEnd"/>
      <w:r w:rsidRPr="00DD53CF">
        <w:rPr>
          <w:color w:val="333333"/>
          <w:highlight w:val="white"/>
          <w:lang w:val="en-US"/>
        </w:rPr>
        <w:t xml:space="preserve"> 2012; 138: 19-26. Taken from </w:t>
      </w:r>
      <w:hyperlink r:id="rId8">
        <w:r w:rsidRPr="00DD53CF">
          <w:rPr>
            <w:color w:val="1155CC"/>
            <w:highlight w:val="white"/>
            <w:u w:val="single"/>
            <w:lang w:val="en-US"/>
          </w:rPr>
          <w:t>https://doi.org/10.1016/j.jad.2011.03.050</w:t>
        </w:r>
      </w:hyperlink>
    </w:p>
    <w:p w14:paraId="19261C69" w14:textId="77777777" w:rsidR="003C189C" w:rsidRPr="00DD53CF" w:rsidRDefault="003C189C">
      <w:pPr>
        <w:rPr>
          <w:b/>
          <w:color w:val="333333"/>
          <w:highlight w:val="white"/>
          <w:lang w:val="en-US"/>
        </w:rPr>
      </w:pPr>
    </w:p>
    <w:p w14:paraId="661CB039" w14:textId="77777777" w:rsidR="003C189C" w:rsidRPr="00DD53CF" w:rsidRDefault="00E94F63">
      <w:pPr>
        <w:rPr>
          <w:color w:val="333333"/>
          <w:highlight w:val="white"/>
          <w:lang w:val="en-US"/>
        </w:rPr>
      </w:pPr>
      <w:proofErr w:type="spellStart"/>
      <w:r w:rsidRPr="00DD53CF">
        <w:rPr>
          <w:color w:val="333333"/>
          <w:highlight w:val="white"/>
          <w:lang w:val="en-US"/>
        </w:rPr>
        <w:t>Soole</w:t>
      </w:r>
      <w:proofErr w:type="spellEnd"/>
      <w:r w:rsidRPr="00DD53CF">
        <w:rPr>
          <w:color w:val="333333"/>
          <w:highlight w:val="white"/>
          <w:lang w:val="en-US"/>
        </w:rPr>
        <w:t xml:space="preserve"> R, </w:t>
      </w:r>
      <w:proofErr w:type="spellStart"/>
      <w:r w:rsidRPr="00DD53CF">
        <w:rPr>
          <w:color w:val="333333"/>
          <w:highlight w:val="white"/>
          <w:lang w:val="en-US"/>
        </w:rPr>
        <w:t>Kolves</w:t>
      </w:r>
      <w:proofErr w:type="spellEnd"/>
      <w:r w:rsidRPr="00DD53CF">
        <w:rPr>
          <w:color w:val="333333"/>
          <w:highlight w:val="white"/>
          <w:lang w:val="en-US"/>
        </w:rPr>
        <w:t xml:space="preserve"> K, De Leo D. (2015). </w:t>
      </w:r>
      <w:r w:rsidRPr="00DD53CF">
        <w:rPr>
          <w:i/>
          <w:color w:val="333333"/>
          <w:highlight w:val="white"/>
          <w:lang w:val="en-US"/>
        </w:rPr>
        <w:t>Suicide in children: a systematic review</w:t>
      </w:r>
      <w:r w:rsidRPr="00DD53CF">
        <w:rPr>
          <w:color w:val="333333"/>
          <w:highlight w:val="white"/>
          <w:lang w:val="en-US"/>
        </w:rPr>
        <w:t xml:space="preserve">. Arch Suicide Res 2015; 19: 285-304. </w:t>
      </w:r>
      <w:hyperlink r:id="rId9">
        <w:r w:rsidRPr="00DD53CF">
          <w:rPr>
            <w:color w:val="1155CC"/>
            <w:highlight w:val="white"/>
            <w:u w:val="single"/>
            <w:lang w:val="en-US"/>
          </w:rPr>
          <w:t>https://doi.org/10.1080/13811118.2014.996694</w:t>
        </w:r>
      </w:hyperlink>
    </w:p>
    <w:p w14:paraId="75A170DE" w14:textId="77777777" w:rsidR="003C189C" w:rsidRPr="00DD53CF" w:rsidRDefault="003C189C">
      <w:pPr>
        <w:rPr>
          <w:color w:val="333333"/>
          <w:highlight w:val="white"/>
          <w:lang w:val="en-US"/>
        </w:rPr>
      </w:pPr>
    </w:p>
    <w:p w14:paraId="4D73DFA5" w14:textId="77777777" w:rsidR="003C189C" w:rsidRDefault="003C189C">
      <w:pPr>
        <w:rPr>
          <w:color w:val="333333"/>
          <w:sz w:val="27"/>
          <w:szCs w:val="27"/>
          <w:highlight w:val="white"/>
        </w:rPr>
      </w:pPr>
    </w:p>
    <w:p w14:paraId="7157A577" w14:textId="77777777" w:rsidR="003C189C" w:rsidRDefault="003C189C">
      <w:pPr>
        <w:rPr>
          <w:color w:val="333333"/>
          <w:sz w:val="27"/>
          <w:szCs w:val="27"/>
          <w:highlight w:val="white"/>
        </w:rPr>
      </w:pPr>
    </w:p>
    <w:p w14:paraId="4A73AEFB" w14:textId="77777777" w:rsidR="003C189C" w:rsidRDefault="003C189C">
      <w:pPr>
        <w:rPr>
          <w:color w:val="333333"/>
          <w:sz w:val="27"/>
          <w:szCs w:val="27"/>
          <w:highlight w:val="white"/>
        </w:rPr>
      </w:pPr>
    </w:p>
    <w:p w14:paraId="530CAAA0" w14:textId="77777777" w:rsidR="003C189C" w:rsidRDefault="003C189C">
      <w:pPr>
        <w:rPr>
          <w:color w:val="333333"/>
          <w:sz w:val="27"/>
          <w:szCs w:val="27"/>
          <w:highlight w:val="white"/>
        </w:rPr>
      </w:pPr>
    </w:p>
    <w:p w14:paraId="27FA94FE" w14:textId="77777777" w:rsidR="003C189C" w:rsidRDefault="003C189C">
      <w:pPr>
        <w:rPr>
          <w:color w:val="333333"/>
          <w:sz w:val="27"/>
          <w:szCs w:val="27"/>
          <w:highlight w:val="white"/>
        </w:rPr>
      </w:pPr>
    </w:p>
    <w:p w14:paraId="53329815" w14:textId="77777777" w:rsidR="003C189C" w:rsidRDefault="003C189C">
      <w:pPr>
        <w:rPr>
          <w:color w:val="333333"/>
          <w:sz w:val="27"/>
          <w:szCs w:val="27"/>
          <w:highlight w:val="white"/>
        </w:rPr>
      </w:pPr>
    </w:p>
    <w:p w14:paraId="5701463A" w14:textId="77777777" w:rsidR="003C189C" w:rsidRDefault="003C189C">
      <w:pPr>
        <w:rPr>
          <w:color w:val="333333"/>
          <w:sz w:val="27"/>
          <w:szCs w:val="27"/>
          <w:highlight w:val="white"/>
        </w:rPr>
      </w:pPr>
    </w:p>
    <w:p w14:paraId="66F00EC9" w14:textId="77777777" w:rsidR="003C189C" w:rsidRDefault="003C189C">
      <w:pPr>
        <w:rPr>
          <w:color w:val="333333"/>
          <w:sz w:val="27"/>
          <w:szCs w:val="27"/>
          <w:highlight w:val="white"/>
        </w:rPr>
      </w:pPr>
    </w:p>
    <w:p w14:paraId="22742E8E" w14:textId="77777777" w:rsidR="003C189C" w:rsidRDefault="003C189C">
      <w:pPr>
        <w:ind w:left="720"/>
        <w:jc w:val="both"/>
      </w:pPr>
    </w:p>
    <w:p w14:paraId="5E2AC8E3" w14:textId="77777777" w:rsidR="003C189C" w:rsidRDefault="003C189C" w:rsidP="00C2417A">
      <w:pPr>
        <w:jc w:val="both"/>
      </w:pPr>
    </w:p>
    <w:p w14:paraId="2A699B5C" w14:textId="77777777" w:rsidR="003C189C" w:rsidRDefault="003C189C">
      <w:pPr>
        <w:jc w:val="both"/>
      </w:pPr>
    </w:p>
    <w:p w14:paraId="3079EBAB" w14:textId="77777777" w:rsidR="003C189C" w:rsidRDefault="003C189C">
      <w:pPr>
        <w:rPr>
          <w:color w:val="333333"/>
          <w:sz w:val="27"/>
          <w:szCs w:val="27"/>
          <w:highlight w:val="white"/>
        </w:rPr>
      </w:pPr>
    </w:p>
    <w:p w14:paraId="5052D164" w14:textId="77777777" w:rsidR="003C189C" w:rsidRDefault="003C189C">
      <w:pPr>
        <w:jc w:val="both"/>
      </w:pPr>
    </w:p>
    <w:sectPr w:rsidR="003C189C">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2032E7" w14:textId="77777777" w:rsidR="00AA07E3" w:rsidRDefault="00AA07E3">
      <w:pPr>
        <w:spacing w:line="240" w:lineRule="auto"/>
      </w:pPr>
      <w:r>
        <w:separator/>
      </w:r>
    </w:p>
  </w:endnote>
  <w:endnote w:type="continuationSeparator" w:id="0">
    <w:p w14:paraId="700CEF1D" w14:textId="77777777" w:rsidR="00AA07E3" w:rsidRDefault="00AA07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7E21AA" w14:textId="77777777" w:rsidR="00AA07E3" w:rsidRDefault="00AA07E3">
      <w:pPr>
        <w:spacing w:line="240" w:lineRule="auto"/>
      </w:pPr>
      <w:r>
        <w:separator/>
      </w:r>
    </w:p>
  </w:footnote>
  <w:footnote w:type="continuationSeparator" w:id="0">
    <w:p w14:paraId="60CCE603" w14:textId="77777777" w:rsidR="00AA07E3" w:rsidRDefault="00AA07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AFC75" w14:textId="77777777" w:rsidR="003C189C" w:rsidRDefault="003C189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895AC0"/>
    <w:multiLevelType w:val="multilevel"/>
    <w:tmpl w:val="5FFE0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89C"/>
    <w:rsid w:val="00107064"/>
    <w:rsid w:val="001360CE"/>
    <w:rsid w:val="00207F51"/>
    <w:rsid w:val="00221209"/>
    <w:rsid w:val="00281AEC"/>
    <w:rsid w:val="002A7145"/>
    <w:rsid w:val="003C189C"/>
    <w:rsid w:val="00484932"/>
    <w:rsid w:val="005557FC"/>
    <w:rsid w:val="00692612"/>
    <w:rsid w:val="007D6330"/>
    <w:rsid w:val="007F69BA"/>
    <w:rsid w:val="0082271D"/>
    <w:rsid w:val="00860F30"/>
    <w:rsid w:val="00965F7C"/>
    <w:rsid w:val="00A52E95"/>
    <w:rsid w:val="00AA07E3"/>
    <w:rsid w:val="00AB1EDF"/>
    <w:rsid w:val="00BA5360"/>
    <w:rsid w:val="00BF0F19"/>
    <w:rsid w:val="00C2417A"/>
    <w:rsid w:val="00C76E5A"/>
    <w:rsid w:val="00C91EE0"/>
    <w:rsid w:val="00DD53CF"/>
    <w:rsid w:val="00E94F63"/>
    <w:rsid w:val="00EF58CE"/>
    <w:rsid w:val="00F9354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02CF1"/>
  <w15:docId w15:val="{976D7FFD-F1FE-4140-A384-3105F1B0C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Descripcin">
    <w:name w:val="caption"/>
    <w:basedOn w:val="Normal"/>
    <w:next w:val="Normal"/>
    <w:uiPriority w:val="35"/>
    <w:unhideWhenUsed/>
    <w:qFormat/>
    <w:rsid w:val="00DD53CF"/>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i.org/10.1016/j.jad.2011.03.050" TargetMode="External"/><Relationship Id="rId3" Type="http://schemas.openxmlformats.org/officeDocument/2006/relationships/settings" Target="settings.xml"/><Relationship Id="rId7" Type="http://schemas.openxmlformats.org/officeDocument/2006/relationships/hyperlink" Target="http://www.who.int/mental_health/suicide-prevention/world_report_2014/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1080/13811118.2014.9966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5</Pages>
  <Words>1732</Words>
  <Characters>9531</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Diego Alexander Torres Rincon</cp:lastModifiedBy>
  <cp:revision>20</cp:revision>
  <cp:lastPrinted>2019-12-08T00:38:00Z</cp:lastPrinted>
  <dcterms:created xsi:type="dcterms:W3CDTF">2019-12-07T23:35:00Z</dcterms:created>
  <dcterms:modified xsi:type="dcterms:W3CDTF">2019-12-08T00:38:00Z</dcterms:modified>
</cp:coreProperties>
</file>