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56"/>
          <w:szCs w:val="56"/>
        </w:rPr>
      </w:pPr>
      <w:r w:rsidDel="00000000" w:rsidR="00000000" w:rsidRPr="00000000">
        <w:rPr>
          <w:b w:val="1"/>
          <w:bCs w:val="1"/>
          <w:sz w:val="56"/>
          <w:szCs w:val="56"/>
          <w:rtl w:val="0"/>
        </w:rPr>
        <w:t xml:space="preserve">CITAJUSTA</w:t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56"/>
          <w:szCs w:val="56"/>
        </w:rPr>
      </w:pPr>
      <w:r w:rsidDel="00000000" w:rsidR="00000000" w:rsidRPr="00000000">
        <w:rPr>
          <w:b w:val="1"/>
          <w:bCs w:val="1"/>
          <w:sz w:val="56"/>
          <w:szCs w:val="56"/>
          <w:rtl w:val="0"/>
        </w:rPr>
        <w:t xml:space="preserve">Revisión Daily Meeting</w:t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sz w:val="21"/>
          <w:szCs w:val="21"/>
          <w:rtl w:val="0"/>
        </w:rPr>
        <w:t xml:space="preserve">Reunión inicial · Épica · Product Backlog · Sprint · Burndown · Release · Avance · Pendientes · Kanban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2743200" cy="2743200"/>
            <wp:effectExtent b="0" l="0" r="0" t="0"/>
            <wp:docPr id="1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74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2448"/>
        <w:gridCol w:w="6912"/>
        <w:tblGridChange w:id="0">
          <w:tblGrid>
            <w:gridCol w:w="2448"/>
            <w:gridCol w:w="6912"/>
          </w:tblGrid>
        </w:tblGridChange>
      </w:tblGrid>
      <w:tr>
        <w:trPr>
          <w:cantSplit w:val="0"/>
          <w:tblHeader w:val="0"/>
        </w:trPr>
        <w:tc>
          <w:tcPr>
            <w:shd w:fill="36a997" w:val="clear"/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Proyecto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Proyecto de Título – Ingeniería en Informática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36a997" w:val="clear"/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Sede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Duoc UC Puente Alto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36a997" w:val="clear"/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>
            <w:r>
              <w:t>1.6</w:t>
            </w:r>
          </w:p>
        </w:tc>
      </w:tr>
      <w:tr>
        <w:trPr>
          <w:cantSplit w:val="0"/>
          <w:tblHeader w:val="0"/>
        </w:trPr>
        <w:tc>
          <w:tcPr>
            <w:shd w:fill="36a997" w:val="clear"/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>
            <w:r>
              <w:t>Actualizado con HU-023 y HU-024 completadas, mergeadas y validadas</w:t>
            </w:r>
          </w:p>
        </w:tc>
      </w:tr>
      <w:tr>
        <w:trPr>
          <w:cantSplit w:val="0"/>
          <w:tblHeader w:val="0"/>
        </w:trPr>
        <w:tc>
          <w:tcPr>
            <w:shd w:fill="36a997" w:val="clear"/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>
            <w:r>
              <w:t>21 de septiembre de 2026</w:t>
            </w:r>
          </w:p>
        </w:tc>
      </w:tr>
      <w:tr>
        <w:trPr>
          <w:cantSplit w:val="0"/>
          <w:tblHeader w:val="0"/>
        </w:trPr>
        <w:tc>
          <w:tcPr>
            <w:shd w:fill="36a997" w:val="clear"/>
            <w:vAlign w:val="cente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Integrantes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Matías Andrés Torres · Bastian Sepúlveda · Diego Simon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pStyle w:val="Heading1"/>
        <w:spacing w:after="80" w:before="1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sdt>
      <w:sdtPr>
        <w:id w:val="-104532154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Épica / objetivo de trabajo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9f2ya2nygr8z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Product Backlog referencia actual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79f6f8u0s4wx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Sprint / avance acumulado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p69a7mvqkn0m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¿Qué se ha realizado?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rdtewbq2v2wa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Pendientes inmediatos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kzmk51akr2ec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Burndown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b08mk4m6o44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Release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wn2wdyudab8q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Kanban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74ki5ryu94gk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Riesgos / bloqueos actuales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gclbba6p1z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 Evidencias asociadas a esta revisión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7qnv9pdl60vd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11. Conclusión de la revisión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0">
      <w:pPr>
        <w:pStyle w:val="Heading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1"/>
        <w:rPr/>
      </w:pPr>
      <w:r w:rsidDel="00000000" w:rsidR="00000000" w:rsidRPr="00000000">
        <w:rPr>
          <w:b w:val="1"/>
          <w:bCs w:val="1"/>
          <w:rtl w:val="0"/>
        </w:rPr>
        <w:t xml:space="preserve">1. Épica / objetivo de trabajo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sdt>
        <w:sdtPr>
          <w:id w:val="465678145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ÉPICA PRINCIPAL: Gestión inteligente de citas y recuperación de cupos liberados. CitaJusta busca gestionar usuarios, instituciones, servicios, profesionales, disponibilidad y citas, permitiendo que los cupos liberados por cancelaciones puedan ser ofrecidos de forma controlada a usuarios compatibles de una lista de espera. Esta épica concentra el flujo principal del proyecto: seguridad → agenda → reserva → cancelación → lista de espera → oferta → reasignación → trazabilidad.</w:t>
          </w:r>
        </w:sdtContent>
      </w:sdt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1"/>
        <w:rPr/>
      </w:pPr>
      <w:bookmarkStart w:colFirst="0" w:colLast="0" w:name="_heading=h.9f2ya2nygr8z" w:id="0"/>
      <w:bookmarkEnd w:id="0"/>
      <w:r w:rsidDel="00000000" w:rsidR="00000000" w:rsidRPr="00000000">
        <w:rPr>
          <w:rtl w:val="0"/>
        </w:rPr>
        <w:t xml:space="preserve">2. Product Backlog </w:t>
      </w:r>
      <w:r w:rsidDel="00000000" w:rsidR="00000000" w:rsidRPr="00000000">
        <w:rPr>
          <w:rtl w:val="0"/>
        </w:rPr>
        <w:t xml:space="preserve">referencia</w:t>
      </w:r>
      <w:r w:rsidDel="00000000" w:rsidR="00000000" w:rsidRPr="00000000">
        <w:rPr>
          <w:rtl w:val="0"/>
        </w:rPr>
        <w:t xml:space="preserve"> actual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224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0"/>
        </w:trPr>
        <w:tc>
          <w:tcPr>
            <w:shd w:fill="36a997" w:val="clear"/>
            <w:vAlign w:val="cente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Elemento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36a997" w:val="clear"/>
            <w:vAlign w:val="cente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36a997" w:val="clear"/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36a997" w:val="clear"/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>
            <w:r>
              <w:t>HU-001/002</w:t>
            </w:r>
          </w:p>
        </w:tc>
        <w:tc>
          <w:tcPr>
            <w:vAlign w:val="center"/>
          </w:tcPr>
          <w:p>
            <w:r>
              <w:t>Registro, login, sesiones y acceso seguro</w:t>
            </w:r>
          </w:p>
        </w:tc>
        <w:tc>
          <w:tcPr>
            <w:vAlign w:val="center"/>
          </w:tcPr>
          <w:p>
            <w:r>
              <w:t>Alta/Crítica</w:t>
            </w:r>
          </w:p>
        </w:tc>
        <w:tc>
          <w:tcPr>
            <w:vAlign w:val="center"/>
          </w:tcPr>
          <w:p>
            <w:r>
              <w:t>Done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>
            <w:r>
              <w:t>HU-003</w:t>
            </w:r>
          </w:p>
        </w:tc>
        <w:tc>
          <w:tcPr>
            <w:vAlign w:val="center"/>
          </w:tcPr>
          <w:p>
            <w:r>
              <w:t>Buscar citas por servicio, sede y disponibilidad</w:t>
            </w:r>
          </w:p>
        </w:tc>
        <w:tc>
          <w:tcPr>
            <w:vAlign w:val="center"/>
          </w:tcPr>
          <w:p>
            <w:r>
              <w:t>Crítica</w:t>
            </w:r>
          </w:p>
        </w:tc>
        <w:tc>
          <w:tcPr>
            <w:vAlign w:val="center"/>
          </w:tcPr>
          <w:p>
            <w:r>
              <w:t>Done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>
            <w:r>
              <w:t>HU-012/013</w:t>
            </w:r>
          </w:p>
        </w:tc>
        <w:tc>
          <w:tcPr>
            <w:vAlign w:val="center"/>
          </w:tcPr>
          <w:p>
            <w:r>
              <w:t>Instituciones, sedes, servicios y profesionales</w:t>
            </w:r>
          </w:p>
        </w:tc>
        <w:tc>
          <w:tcPr>
            <w:vAlign w:val="center"/>
          </w:tcPr>
          <w:p>
            <w:r>
              <w:t>Alta</w:t>
            </w:r>
          </w:p>
        </w:tc>
        <w:tc>
          <w:tcPr>
            <w:vAlign w:val="center"/>
          </w:tcPr>
          <w:p>
            <w:r>
              <w:t>Done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>
            <w:r>
              <w:t>HU-014/015</w:t>
            </w:r>
          </w:p>
        </w:tc>
        <w:tc>
          <w:tcPr>
            <w:vAlign w:val="center"/>
          </w:tcPr>
          <w:p>
            <w:r>
              <w:t>Disponibilidad, cupos y agenda institucional</w:t>
            </w:r>
          </w:p>
        </w:tc>
        <w:tc>
          <w:tcPr>
            <w:vAlign w:val="center"/>
          </w:tcPr>
          <w:p>
            <w:r>
              <w:t>Crítica/Alta</w:t>
            </w:r>
          </w:p>
        </w:tc>
        <w:tc>
          <w:tcPr>
            <w:vAlign w:val="center"/>
          </w:tcPr>
          <w:p>
            <w:r>
              <w:t>Done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>
            <w:r>
              <w:t>HU-004</w:t>
            </w:r>
          </w:p>
        </w:tc>
        <w:tc>
          <w:tcPr>
            <w:vAlign w:val="center"/>
          </w:tcPr>
          <w:p>
            <w:r>
              <w:t>Reservar una cita</w:t>
            </w:r>
          </w:p>
        </w:tc>
        <w:tc>
          <w:tcPr>
            <w:vAlign w:val="center"/>
          </w:tcPr>
          <w:p>
            <w:r>
              <w:t>Crítica</w:t>
            </w:r>
          </w:p>
        </w:tc>
        <w:tc>
          <w:tcPr>
            <w:vAlign w:val="center"/>
          </w:tcPr>
          <w:p>
            <w:r>
              <w:t>Done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>
            <w:r>
              <w:t>HU-005/006</w:t>
            </w:r>
          </w:p>
        </w:tc>
        <w:tc>
          <w:tcPr>
            <w:vAlign w:val="center"/>
          </w:tcPr>
          <w:p>
            <w:r>
              <w:t>Consulta y cancelación de citas</w:t>
            </w:r>
          </w:p>
        </w:tc>
        <w:tc>
          <w:tcPr>
            <w:vAlign w:val="center"/>
          </w:tcPr>
          <w:p>
            <w:r>
              <w:t>Alta/Crítica</w:t>
            </w:r>
          </w:p>
        </w:tc>
        <w:tc>
          <w:tcPr>
            <w:vAlign w:val="center"/>
          </w:tcPr>
          <w:p>
            <w:r>
              <w:t>Done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>
            <w:r>
              <w:t>HU-007/008/021</w:t>
            </w:r>
          </w:p>
        </w:tc>
        <w:tc>
          <w:tcPr>
            <w:vAlign w:val="center"/>
          </w:tcPr>
          <w:p>
            <w:r>
              <w:t>Lista de espera, preferencias e integración Web</w:t>
            </w:r>
          </w:p>
        </w:tc>
        <w:tc>
          <w:tcPr>
            <w:vAlign w:val="center"/>
          </w:tcPr>
          <w:p>
            <w:r>
              <w:t>Crítica/Alta</w:t>
            </w:r>
          </w:p>
        </w:tc>
        <w:tc>
          <w:tcPr>
            <w:vAlign w:val="center"/>
          </w:tcPr>
          <w:p>
            <w:r>
              <w:t>Done</w:t>
            </w:r>
          </w:p>
        </w:tc>
      </w:tr>
      <w:tr>
        <w:trPr>
          <w:cantSplit w:val="0"/>
          <w:tblHeader w:val="0"/>
        </w:trPr>
        <w:tc>
          <w:tcPr/>
          <w:p>
            <w:r>
              <w:t>HU-009/010/011/016/018/022/023</w:t>
            </w:r>
          </w:p>
        </w:tc>
        <w:tc>
          <w:tcPr/>
          <w:p>
            <w:r>
              <w:t>Ofertas, reasignación, políticas, Web y expiración automática</w:t>
            </w:r>
          </w:p>
        </w:tc>
        <w:tc>
          <w:tcPr/>
          <w:p>
            <w:r>
              <w:t>Crítica</w:t>
            </w:r>
          </w:p>
        </w:tc>
        <w:tc>
          <w:tcPr/>
          <w:p>
            <w:r>
              <w:t>Done</w:t>
            </w:r>
          </w:p>
        </w:tc>
      </w:tr>
      <w:tr>
        <w:trPr>
          <w:cantSplit w:val="0"/>
          <w:tblHeader w:val="0"/>
        </w:trPr>
        <w:tc>
          <w:tcPr/>
          <w:p>
            <w:r>
              <w:t>HU-024</w:t>
            </w:r>
          </w:p>
        </w:tc>
        <w:tc>
          <w:tcPr/>
          <w:p>
            <w:r>
              <w:t>Notificaciones internas para citas, lista de espera y ofertas</w:t>
            </w:r>
          </w:p>
        </w:tc>
        <w:tc>
          <w:tcPr/>
          <w:p>
            <w:r>
              <w:t>Alta</w:t>
            </w:r>
          </w:p>
        </w:tc>
        <w:tc>
          <w:tcPr/>
          <w:p>
            <w:r>
              <w:t>Done</w:t>
            </w:r>
          </w:p>
        </w:tc>
      </w:tr>
    </w:tbl>
    <w:p w:rsidR="00000000" w:rsidDel="00000000" w:rsidP="00000000" w:rsidRDefault="00000000" w:rsidRPr="00000000" w14:paraId="00000065">
      <w:pPr>
        <w:pStyle w:val="Heading1"/>
        <w:rPr/>
      </w:pPr>
      <w:bookmarkStart w:colFirst="0" w:colLast="0" w:name="_heading=h.79f6f8u0s4wx" w:id="1"/>
      <w:bookmarkEnd w:id="1"/>
      <w:r w:rsidDel="00000000" w:rsidR="00000000" w:rsidRPr="00000000">
        <w:rPr>
          <w:rtl w:val="0"/>
        </w:rPr>
        <w:t xml:space="preserve">3. Sprint / avance acumulado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>
        <w:t>Sprint 4: Agenda Base permanece cerrado con 8/8 tareas completadas. Sprint 5: Citas y Lista de Espera permanece cerrado. Sprint 6 fue refinado para completar los requisitos MVP pendientes del motor de reasignación y comunicación interna, cerrando 10/10 tareas: HU-021/HU-022 Web, HU-023 expiración automática/continuidad y HU-024 notificaciones internas quedaron implementadas, validadas y mergeadas a main.</w:t>
      </w:r>
    </w:p>
    <w:tbl>
      <w:tblPr>
        <w:tblStyle w:val="Table3"/>
        <w:tblW w:w="10224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0"/>
        </w:trPr>
        <w:tc>
          <w:tcPr>
            <w:shd w:fill="36a997" w:val="clear"/>
            <w:vAlign w:val="center"/>
          </w:tcPr>
          <w:p>
            <w:r>
              <w:t>Tareas Sprint 6</w:t>
            </w:r>
          </w:p>
        </w:tc>
        <w:tc>
          <w:tcPr>
            <w:shd w:fill="36a997" w:val="clear"/>
            <w:vAlign w:val="center"/>
          </w:tcPr>
          <w:p>
            <w:r>
              <w:t>Done</w:t>
            </w:r>
          </w:p>
        </w:tc>
        <w:tc>
          <w:tcPr>
            <w:shd w:fill="36a997" w:val="clear"/>
            <w:vAlign w:val="center"/>
          </w:tcPr>
          <w:p>
            <w:r>
              <w:t>En progreso / Pendiente</w:t>
            </w:r>
          </w:p>
        </w:tc>
        <w:tc>
          <w:tcPr>
            <w:shd w:fill="36a997" w:val="clear"/>
            <w:vAlign w:val="center"/>
          </w:tcPr>
          <w:p>
            <w:r>
              <w:t>Pruebas actuales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>
            <w:r>
              <w:t>10</w:t>
            </w:r>
          </w:p>
        </w:tc>
        <w:tc>
          <w:tcPr>
            <w:vAlign w:val="center"/>
          </w:tcPr>
          <w:p>
            <w:r>
              <w:t>10</w:t>
            </w:r>
          </w:p>
        </w:tc>
        <w:tc>
          <w:tcPr>
            <w:vAlign w:val="center"/>
          </w:tcPr>
          <w:p>
            <w:r>
              <w:t>0 / 0</w:t>
            </w:r>
          </w:p>
        </w:tc>
        <w:tc>
          <w:tcPr>
            <w:vAlign w:val="center"/>
          </w:tcPr>
          <w:p>
            <w:r>
              <w:t>HU-023: API 368/368 + expiry 10/10 · HU-024: Web 83/83 + notifications 8/8</w:t>
            </w:r>
          </w:p>
        </w:tc>
      </w:tr>
    </w:tbl>
    <w:p w:rsidR="00000000" w:rsidDel="00000000" w:rsidP="00000000" w:rsidRDefault="00000000" w:rsidRPr="00000000" w14:paraId="00000070">
      <w:pPr>
        <w:pStyle w:val="Heading1"/>
        <w:rPr/>
      </w:pPr>
      <w:bookmarkStart w:colFirst="0" w:colLast="0" w:name="_heading=h.p69a7mvqkn0m" w:id="2"/>
      <w:bookmarkEnd w:id="2"/>
      <w:r w:rsidDel="00000000" w:rsidR="00000000" w:rsidRPr="00000000">
        <w:rPr>
          <w:rtl w:val="0"/>
        </w:rPr>
        <w:t xml:space="preserve">4. ¿Qué se ha realizado?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t>Backend HU-001 a HU-020 implementado, con autenticación, RBAC, contexto institucional, agenda, citas, lista de espera, reasignación, políticas, operación, reportes y auditoría.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t>apps/web consume la API real para autenticación, catálogos, disponibilidad, reserva, Mis citas, cancelación, lista de espera/preferencias, ofertas de reasignación y centro de notificaciones internas.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t>HU-021 y HU-022 quedaron completadas y mergeadas: PR #89 (merge c291d17) para lista de espera/preferencias Web y PR #93 (merge 5701ab7) para ofertas de reasignación Web.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t>HU-023 – Expiración automática y continuidad completada mediante PR #96 (merge 109b1c9): runner interno, transición PENDING → EXPIRED, continuidad al siguiente candidato, cierres EXHAUSTED/CANCELLED/FAILED controlados y auditoría OFFER_EXPIRED.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t>HU-024 – Notificaciones internas completada mediante PR #99 (merge b1bff30): ocho eventos de dominio, deduplicación transaccional, API /notifications/me, contador de no leídas, lectura individual y centro Web /notificaciones.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t>Validación HU-023: API 368/368, E2E expiración 10/10, reasignaciones 20/20, auditoría 11/11, política 13/13, reports 15/15 y checkpoint 1/1. Validación HU-024: unitarios nuevos 6/6, E2E notifications 8/8, API dirigida 157/157, regresión crítica 87/87, reports 15/15, demo 7/7 y Web 83/83.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>
        <w:t>Prueba manual HU-024 completada: WAITLIST_ENTERED visible en /notificaciones, contador de no leídas, marcado como leída persistente, actualización inmediata del Header y restauración correcta después de logout/login.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1"/>
        <w:spacing w:after="40" w:line="276" w:lineRule="auto"/>
        <w:rPr/>
      </w:pPr>
      <w:bookmarkStart w:colFirst="0" w:colLast="0" w:name="_heading=h.rdtewbq2v2wa" w:id="3"/>
      <w:bookmarkEnd w:id="3"/>
      <w:r w:rsidDel="00000000" w:rsidR="00000000" w:rsidRPr="00000000">
        <w:rPr>
          <w:rtl w:val="0"/>
        </w:rPr>
        <w:t xml:space="preserve">5. Pendientes inmediatos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t>Actualizar y mantener sincronizadas las evidencias Scrum con los cierres de HU-023 y HU-024 y con los merges PR #96/#99.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t>Revisar contra alcance y bocetos si queda alguna pantalla Web de usuario pendiente antes de iniciar la aplicación institucional de escritorio.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t>Iniciar el siguiente bloque de trabajo con la fundación de la aplicación institucional de escritorio y las interfaces administrativas ya soportadas por el backend.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t>Mantener sincronizados Product Backlog, Sprint Backlog, Release Plan, Kanban, Issues y Daily Scrum con el estado verificable de GitHub.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t>Planificar las integraciones externas (correo, OAuth, Calendar, Maps y WhatsApp) después de consolidar el núcleo MVP y mediante adaptadores del backend, sin acoplar reglas de negocio a proveedores.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>
        <w:t>Mantener como deuda técnica separada la advertencia de pg sobre consultas simultáneas y completar posteriormente Docker/Docker Compose, OpenAPI/Swagger y pruebas de seguridad/rendimiento.</w:t>
      </w:r>
    </w:p>
    <w:p w:rsidR="00000000" w:rsidDel="00000000" w:rsidP="00000000" w:rsidRDefault="00000000" w:rsidRPr="00000000" w14:paraId="00000082">
      <w:pPr>
        <w:pStyle w:val="Heading1"/>
        <w:spacing w:after="40" w:line="276" w:lineRule="auto"/>
        <w:rPr/>
      </w:pPr>
      <w:bookmarkStart w:colFirst="0" w:colLast="0" w:name="_heading=h.kzmk51akr2ec" w:id="4"/>
      <w:bookmarkEnd w:id="4"/>
      <w:r w:rsidDel="00000000" w:rsidR="00000000" w:rsidRPr="00000000">
        <w:rPr>
          <w:rtl w:val="0"/>
        </w:rPr>
        <w:t xml:space="preserve">6. Burndown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>
        <w:t>Estado: evidencia histórica cerrada del Sprint 4. El Burndown Sprint 4 conserva su reconstrucción basada en hitos reales de GitHub y Pull Requests, con 30 h estimadas al inicio y 0 h restantes tras el checkpoint E2E real. No se modifica porque corresponde a un Sprint ya cerrado.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1"/>
        <w:rPr/>
      </w:pPr>
      <w:bookmarkStart w:colFirst="0" w:colLast="0" w:name="_heading=h.b08mk4m6o44" w:id="5"/>
      <w:bookmarkEnd w:id="5"/>
      <w:r w:rsidDel="00000000" w:rsidR="00000000" w:rsidRPr="00000000">
        <w:rPr>
          <w:rtl w:val="0"/>
        </w:rPr>
        <w:t xml:space="preserve">7. Release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>
        <w:t>El Release Plan mantiene 8 Sprints hasta R1.0. Sprint 6 queda cerrado con el motor de reasignación completo, expiración automática real y notificaciones internas; HU-023 fue mergeada por PR #96 y HU-024 por PR #99. El siguiente foco funcional corresponde al cierre de la experiencia Web de usuario frente al alcance y al inicio de la aplicación institucional de escritorio.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1"/>
        <w:rPr/>
      </w:pPr>
      <w:bookmarkStart w:colFirst="0" w:colLast="0" w:name="_heading=h.wn2wdyudab8q" w:id="6"/>
      <w:bookmarkEnd w:id="6"/>
      <w:r w:rsidDel="00000000" w:rsidR="00000000" w:rsidRPr="00000000">
        <w:rPr>
          <w:rtl w:val="0"/>
        </w:rPr>
        <w:t xml:space="preserve">8. Kanban</w:t>
      </w:r>
    </w:p>
    <w:p w:rsidR="00000000" w:rsidDel="00000000" w:rsidP="00000000" w:rsidRDefault="00000000" w:rsidRPr="00000000" w14:paraId="0000008B">
      <w:pPr>
        <w:rPr/>
      </w:pPr>
      <w:r>
        <w:t>Estado: tablero real disponible en GitHub Projects con columnas Backlog, Ready, In Progress, Review, Testing y Done. HU-021, HU-022 y HU-023 cuentan con evidencia visual/merge de cierre; HU-024 está mergeada a main mediante PR #99 y corresponde mantener el tablero visual sincronizado con ese cierre.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>
        <w:t>Figura / evidencia asociada: tablero Kanban real de CitaJusta en GitHub Projects. Ver 14_Evidencia_Kanban_CitaJusta.docx.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1"/>
        <w:rPr/>
      </w:pPr>
      <w:bookmarkStart w:colFirst="0" w:colLast="0" w:name="_heading=h.74ki5ryu94gk" w:id="7"/>
      <w:bookmarkEnd w:id="7"/>
      <w:r w:rsidDel="00000000" w:rsidR="00000000" w:rsidRPr="00000000">
        <w:rPr>
          <w:rtl w:val="0"/>
        </w:rPr>
        <w:t xml:space="preserve">9. Riesgos / bloqueos actuales</w:t>
      </w:r>
    </w:p>
    <w:p w:rsidR="00000000" w:rsidDel="00000000" w:rsidP="00000000" w:rsidRDefault="00000000" w:rsidRPr="00000000" w14:paraId="0000009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t>No existe actualmente un bloqueo técnico activo en persistencia, Prisma, reasignación, expiración automática o notificaciones internas. HU-023 y HU-024 fueron validadas y mergeadas a main.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t>La siguiente prioridad funcional es ordenar el cierre de la experiencia Web del usuario frente al alcance/bocetos y luego iniciar la aplicación institucional de escritorio. La administración de sedes, servicios, profesionales, disponibilidad, agenda, reportes y auditoría corresponde al ámbito institucional.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t>La aplicación institucional Tauri y Docker/Docker Compose continúan pendientes como entregables técnicos posteriores.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>
        <w:t>Se mantiene como deuda técnica de baja prioridad la advertencia de pg detectada en pruebas concurrentes; no afecta los resultados actuales.</w:t>
      </w:r>
    </w:p>
    <w:p w:rsidR="00000000" w:rsidDel="00000000" w:rsidP="00000000" w:rsidRDefault="00000000" w:rsidRPr="00000000" w14:paraId="00000095">
      <w:pPr>
        <w:pStyle w:val="Heading1"/>
        <w:spacing w:after="40" w:line="276" w:lineRule="auto"/>
        <w:rPr/>
      </w:pPr>
      <w:bookmarkStart w:colFirst="0" w:colLast="0" w:name="_heading=h.gclbba6p1z" w:id="8"/>
      <w:bookmarkEnd w:id="8"/>
      <w:r w:rsidDel="00000000" w:rsidR="00000000" w:rsidRPr="00000000">
        <w:rPr>
          <w:rtl w:val="0"/>
        </w:rPr>
        <w:t xml:space="preserve">10. Evidencias asociadas a esta revisión</w:t>
      </w:r>
    </w:p>
    <w:tbl>
      <w:tblPr>
        <w:tblStyle w:val="Table4"/>
        <w:tblW w:w="10224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3408"/>
        <w:gridCol w:w="3408"/>
        <w:gridCol w:w="3408"/>
        <w:tblGridChange w:id="0">
          <w:tblGrid>
            <w:gridCol w:w="3408"/>
            <w:gridCol w:w="3408"/>
            <w:gridCol w:w="3408"/>
          </w:tblGrid>
        </w:tblGridChange>
      </w:tblGrid>
      <w:tr>
        <w:trPr>
          <w:cantSplit w:val="0"/>
          <w:tblHeader w:val="0"/>
        </w:trPr>
        <w:tc>
          <w:tcPr>
            <w:shd w:fill="36a997" w:val="clear"/>
            <w:vAlign w:val="center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36a997" w:val="clear"/>
            <w:vAlign w:val="center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36a997" w:val="clear"/>
            <w:vAlign w:val="center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Documento / soporte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>
            <w:r>
              <w:t>Product Backlog</w:t>
            </w:r>
          </w:p>
        </w:tc>
        <w:tc>
          <w:tcPr>
            <w:vAlign w:val="center"/>
          </w:tcPr>
          <w:p>
            <w:r>
              <w:t>Actualizado</w:t>
            </w:r>
          </w:p>
        </w:tc>
        <w:tc>
          <w:tcPr>
            <w:vAlign w:val="center"/>
          </w:tcPr>
          <w:p>
            <w:r>
              <w:t>06_Product_Backlog_CitaJusta.xlsx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>
            <w:r>
              <w:t>Sprint Backlog</w:t>
            </w:r>
          </w:p>
        </w:tc>
        <w:tc>
          <w:tcPr>
            <w:vAlign w:val="center"/>
          </w:tcPr>
          <w:p>
            <w:r>
              <w:t>Actualizado</w:t>
            </w:r>
          </w:p>
        </w:tc>
        <w:tc>
          <w:tcPr>
            <w:vAlign w:val="center"/>
          </w:tcPr>
          <w:p>
            <w:r>
              <w:t>07_Sprint_Backlog_CitaJusta.xlsx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>
            <w:r>
              <w:t>Release Plan</w:t>
            </w:r>
          </w:p>
        </w:tc>
        <w:tc>
          <w:tcPr>
            <w:vAlign w:val="center"/>
          </w:tcPr>
          <w:p>
            <w:r>
              <w:t>Actualizado</w:t>
            </w:r>
          </w:p>
        </w:tc>
        <w:tc>
          <w:tcPr>
            <w:vAlign w:val="center"/>
          </w:tcPr>
          <w:p>
            <w:r>
              <w:t>13_Release_Plan_CitaJusta.xlsx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>
            <w:r>
              <w:t>Burndown</w:t>
            </w:r>
          </w:p>
        </w:tc>
        <w:tc>
          <w:tcPr>
            <w:vAlign w:val="center"/>
          </w:tcPr>
          <w:p>
            <w:r>
              <w:t>Histórico / sin cambios</w:t>
            </w:r>
          </w:p>
        </w:tc>
        <w:tc>
          <w:tcPr>
            <w:vAlign w:val="center"/>
          </w:tcPr>
          <w:p>
            <w:r>
              <w:t>08_Burndown_Sprint_4_CitaJusta.xlsx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>
            <w:r>
              <w:t>Kanban</w:t>
            </w:r>
          </w:p>
        </w:tc>
        <w:tc>
          <w:tcPr>
            <w:vAlign w:val="center"/>
          </w:tcPr>
          <w:p>
            <w:r>
              <w:t>Actualizado</w:t>
            </w:r>
          </w:p>
        </w:tc>
        <w:tc>
          <w:tcPr>
            <w:vAlign w:val="center"/>
          </w:tcPr>
          <w:p>
            <w:r>
              <w:t>14_Evidencia_Kanban_CitaJusta.docx</w:t>
            </w:r>
          </w:p>
        </w:tc>
      </w:tr>
    </w:tbl>
    <w:p w:rsidR="00000000" w:rsidDel="00000000" w:rsidP="00000000" w:rsidRDefault="00000000" w:rsidRPr="00000000" w14:paraId="000000A8">
      <w:pPr>
        <w:pStyle w:val="Heading1"/>
        <w:rPr/>
      </w:pPr>
      <w:bookmarkStart w:colFirst="0" w:colLast="0" w:name="_heading=h.7qnv9pdl60vd" w:id="9"/>
      <w:bookmarkEnd w:id="9"/>
      <w:r w:rsidDel="00000000" w:rsidR="00000000" w:rsidRPr="00000000">
        <w:rPr>
          <w:rtl w:val="0"/>
        </w:rPr>
        <w:t xml:space="preserve">11. Conclusión de la revisión</w:t>
      </w:r>
    </w:p>
    <w:p w:rsidR="00000000" w:rsidDel="00000000" w:rsidP="00000000" w:rsidRDefault="00000000" w:rsidRPr="00000000" w14:paraId="000000A9">
      <w:pPr>
        <w:rPr/>
      </w:pPr>
      <w:r>
        <w:t>La revisión actual evidencia que CitaJusta cuenta con backend HU-001 a HU-020 implementado y con HU-021 a HU-024 cerradas e integradas. HU-023 completó RF-029/RF-030 mediante expiración automática y continuidad segura; HU-024 completó RF-034 con notificaciones internas persistentes y centro Web. Los merges principales son PR #96 → 109b1c9 y PR #99 → b1bff30. El proyecto queda preparado para revisar el cierre de la Web de usuario y continuar con la aplicación institucional de escritorio.</w:t>
      </w:r>
    </w:p>
    <w:sectPr>
      <w:headerReference r:id="rId8" w:type="default"/>
      <w:headerReference r:id="rId9" w:type="first"/>
      <w:pgSz w:h="15840" w:w="12240" w:orient="portrait"/>
      <w:pgMar w:bottom="792" w:top="792" w:left="1008" w:right="1008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pto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inline distB="0" distT="0" distL="114300" distR="114300">
          <wp:extent cx="2601414" cy="576263"/>
          <wp:effectExtent b="0" l="0" r="0" t="0"/>
          <wp:docPr id="1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601414" cy="576263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B">
    <w:pPr>
      <w:jc w:val="righ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/>
      <w:drawing>
        <wp:inline distB="0" distT="0" distL="114300" distR="114300">
          <wp:extent cx="3017520" cy="675504"/>
          <wp:effectExtent b="0" l="0" r="0" t="0"/>
          <wp:docPr id="1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017520" cy="675504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Kjg9RgGz5hTPhyPcrP1dHEogwg==">CgMxLjAaHQoBMBIYChYIB0ISEhBBcmlhbCBVbmljb2RlIE1TMg5oLjlmMnlhMm55Z3I4ejIOaC43OWY2Zjh1MHM0d3gyDmgucDY5YTdtdnFrbjBtMg5oLnJkdGV3YnEydjJ3YTIOaC5rem1rNTFha3IyZWMyDWguYjA4bWs0bTZvNDQyDmgud24yd2R5dWRhYjhxMg5oLjc0a2k1cnl1OTRnazIMaC5nY2xiYmE2cDF6Mg5oLjdxbnY5cGRsNjB2ZDgAciExdHZPXy1rOFRrNHVSOWdzM3pSM1NYaTdma05heV9Xcz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