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Arial" w:cs="Arial" w:eastAsia="Arial" w:hAnsi="Arial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CITAJUSTA Evidencia Kanban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left"/>
        <w:rPr>
          <w:rFonts w:ascii="Arial" w:cs="Arial" w:eastAsia="Arial" w:hAnsi="Arial"/>
        </w:rPr>
      </w:pPr>
      <w:r w:rsidDel="00000000" w:rsidR="00000000" w:rsidRPr="00000000">
        <w:rPr>
          <w:rtl w:val="0"/>
        </w:rPr>
        <w:t xml:space="preserve">Repositorio: https://github.com/torresmatias23/CitaJusta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>
        <w:t>Actualización: 21 de septiembre de 2026 · Sprint 6 · HU-023 y HU-024 completadas e integradas a main</w:t>
      </w:r>
    </w:p>
    <w:p w:rsidR="00000000" w:rsidDel="00000000" w:rsidP="00000000" w:rsidRDefault="00000000" w:rsidRPr="00000000" w14:paraId="00000004">
      <w:pPr>
        <w:pStyle w:val="Heading1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30"/>
          <w:szCs w:val="30"/>
          <w:rtl w:val="0"/>
        </w:rPr>
        <w:t xml:space="preserve">1. Objetivo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  <w:t xml:space="preserve">Registrar evidencia visual y verificable del tablero Kanban real utilizado por el equipo para gestionar el avance del proyecto CitaJusta, manteniendo trazabilidad entre historias, tareas, estados de trabajo, validaciones y cierres realizados en GitHub.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1"/>
        <w:rPr>
          <w:rFonts w:ascii="Arial" w:cs="Arial" w:eastAsia="Arial" w:hAnsi="Arial"/>
          <w:color w:val="000000"/>
        </w:rPr>
      </w:pPr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2. Columnas utilizadas</w:t>
      </w:r>
      <w:r w:rsidDel="00000000" w:rsidR="00000000" w:rsidRPr="00000000">
        <w:rPr>
          <w:rtl w:val="0"/>
        </w:rPr>
      </w:r>
    </w:p>
    <w:tbl>
      <w:tblPr>
        <w:tblStyle w:val="Table1"/>
        <w:tblW w:w="10224.0" w:type="dxa"/>
        <w:jc w:val="left"/>
        <w:tblInd w:w="-11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00"/>
      </w:tblPr>
      <w:tblGrid>
        <w:gridCol w:w="5112"/>
        <w:gridCol w:w="5112"/>
        <w:tblGridChange w:id="0">
          <w:tblGrid>
            <w:gridCol w:w="5112"/>
            <w:gridCol w:w="5112"/>
          </w:tblGrid>
        </w:tblGridChange>
      </w:tblGrid>
      <w:tr>
        <w:trPr>
          <w:cantSplit w:val="0"/>
          <w:tblHeader w:val="0"/>
        </w:trPr>
        <w:tc>
          <w:tcPr>
            <w:shd w:fill="93c47d" w:val="clear"/>
            <w:vAlign w:val="center"/>
          </w:tcPr>
          <w:p w:rsidR="00000000" w:rsidDel="00000000" w:rsidP="00000000" w:rsidRDefault="00000000" w:rsidRPr="00000000" w14:paraId="0000000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Columna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93c47d" w:val="clear"/>
            <w:vAlign w:val="center"/>
          </w:tcPr>
          <w:p w:rsidR="00000000" w:rsidDel="00000000" w:rsidP="00000000" w:rsidRDefault="00000000" w:rsidRPr="00000000" w14:paraId="0000000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Uso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Backlog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Historias o tareas aún no iniciadas.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Ready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Trabajo refinado y disponible para iniciar.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In Progress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Trabajo actualmente en desarrollo.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Review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Cambios en revisión antes de integrarse.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Testing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Validación funcional, técnica o E2E.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Done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Trabajo implementado y validado con evidencia verificable.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5">
      <w:pPr>
        <w:pStyle w:val="Heading1"/>
        <w:rPr>
          <w:rFonts w:ascii="Arial" w:cs="Arial" w:eastAsia="Arial" w:hAnsi="Arial"/>
          <w:color w:val="000000"/>
        </w:rPr>
      </w:pPr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3. Evidencia actual del Kanban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center"/>
        <w:rPr/>
      </w:pPr>
      <w:r>
        <w:drawing>
          <wp:inline>
            <wp:extent cx="6400800" cy="34455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2f2e84-c2cd-430f-a507-6887a601d167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445592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00000" w:rsidDel="00000000" w:rsidP="00000000" w:rsidRDefault="00000000" w:rsidRPr="00000000" w14:paraId="00000017">
      <w:pPr>
        <w:jc w:val="center"/>
        <w:rPr/>
      </w:pPr>
      <w:r>
        <w:t>Figura 1. Evidencia histórica del Kanban real de CitaJusta en GitHub Projects. La actualización posterior se registra textualmente con los cierres verificables de HU-021 a HU-024.</w:t>
      </w:r>
    </w:p>
    <w:p w:rsidR="00000000" w:rsidDel="00000000" w:rsidP="00000000" w:rsidRDefault="00000000" w:rsidRPr="00000000" w14:paraId="00000018">
      <w:pPr>
        <w:pStyle w:val="Heading1"/>
        <w:rPr>
          <w:rFonts w:ascii="Arial" w:cs="Arial" w:eastAsia="Arial" w:hAnsi="Arial"/>
          <w:color w:val="000000"/>
        </w:rPr>
      </w:pPr>
      <w:r>
        <w:t>4. Estado observado y actualización al 21-09-2026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sz w:val="22"/>
          <w:szCs w:val="22"/>
          <w:shd w:fill="auto" w:val="clear"/>
          <w:vertAlign w:val="baseline"/>
        </w:rPr>
      </w:pPr>
      <w:r>
        <w:t>Última evidencia visual aportada: columna Done con 31 elementos y HU-023 visible como Done. Las capturas anteriores se conservan como evidencia histórica del avance del tablero.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sz w:val="22"/>
          <w:szCs w:val="22"/>
          <w:shd w:fill="auto" w:val="clear"/>
          <w:vertAlign w:val="baseline"/>
        </w:rPr>
      </w:pPr>
      <w:r>
        <w:t>Después de esa captura, HU-024 – Implementar notificaciones internas fue completada, validada y mergeada a main mediante PR #99 (merge b1bff30). El estado Scrum debe mantenerse sincronizado moviendo HU-024 a Done y generando una nueva captura cuando se prepare la evidencia final de entrega.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sz w:val="22"/>
          <w:szCs w:val="22"/>
          <w:shd w:fill="auto" w:val="clear"/>
          <w:vertAlign w:val="baseline"/>
        </w:rPr>
      </w:pPr>
      <w:r>
        <w:t>El backend de HU-001 a HU-020 se encuentra completado; HU-021, HU-022, HU-023 y HU-024 también están completadas e integradas. HU-023 cerró expiración automática/continuidad y HU-024 cerró notificaciones internas del MVP.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sz w:val="22"/>
          <w:szCs w:val="22"/>
          <w:shd w:fill="auto" w:val="clear"/>
          <w:vertAlign w:val="baseline"/>
        </w:rPr>
      </w:pPr>
      <w:r>
        <w:t>Trazabilidad reciente: HU-021 → PR #89 / merge c291d17; HU-022 → PR #93 / merge 5701ab7; HU-023 → PR #96 / merge 109b1c9; HU-024 → PR #99 / merge b1bff30.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sz w:val="22"/>
          <w:szCs w:val="22"/>
          <w:shd w:fill="auto" w:val="clear"/>
          <w:vertAlign w:val="baseline"/>
        </w:rPr>
      </w:pPr>
      <w:r>
        <w:t>Validación HU-023: API 368/368, E2E expiración 10/10, reasignaciones 20/20, auditoría 11/11, política 13/13, reports 15/15 y checkpoint 1/1. Validación HU-024: unitarios nuevos API 6/6, E2E notifications 8/8, API dirigida 157/157, regresión crítica 87/87, reports 15/15, demo 7/7 y Web 83/83; prueba manual de lectura y restauración de sesión PASS.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>
        <w:t>No existe una rama funcional activa asociada a HU-023/HU-024: ambas fueron mergeadas a main y sus ramas de trabajo fueron cerradas. El siguiente trabajo deberá iniciar desde main limpio.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t>Para una entrega académica que exija coincidencia visual exacta con el estado final del tablero, se recomienda reemplazar las capturas históricas por una nueva captura posterior al movimiento de HU-024 a Done. La trazabilidad textual y de merges ya refleja el estado verificable al 21-09-2026.</w:t>
      </w:r>
    </w:p>
    <w:p>
      <w:pPr>
        <w:jc w:val="center"/>
      </w:pPr>
      <w:r>
        <w:drawing>
          <wp:inline>
            <wp:extent cx="2926080" cy="57033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c508944-e8ff-41b0-9611-fc40d3e57d5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5703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Figura 2. Evidencia visual aportada el 21-09-2026: HU-023 visible en Done y contador Done = 31. HU-024 fue mergeada posteriormente mediante PR #99; su captura final debe actualizarse al cerrar la evidencia visual del tablero.</w:t>
      </w:r>
    </w:p>
    <w:sectPr>
      <w:pgSz w:h="15840" w:w="12240" w:orient="portrait"/>
      <w:pgMar w:bottom="1008" w:top="1008" w:left="1008" w:right="1008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Arial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9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I35vfszyzRodoSpZcAYVksGXqCA==">CgMxLjA4AHIhMUs1QmRodmV1M2pHTGp0cVJZbExGbFNhSFExU2QyTVli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