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1">
            <w:pP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1.1 Diseña pruebas de validación tanto de los productos como de los procesos utilizando buenas prácticas definidas por la industria.</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2cc" w:val="clear"/>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b w:val="1"/>
                <w:bCs w:val="1"/>
                <w:color w:val="008000"/>
                <w:rtl w:val="0"/>
              </w:rPr>
              <w:t xml:space="preserve">ED </w:t>
            </w: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e2f0d9" w:val="clear"/>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b w:val="1"/>
                <w:bCs w:val="1"/>
                <w:color w:val="008000"/>
                <w:rtl w:val="0"/>
              </w:rPr>
              <w:t xml:space="preserve">P </w:t>
            </w: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2cc" w:val="clear"/>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b w:val="1"/>
                <w:bCs w:val="1"/>
                <w:color w:val="008000"/>
                <w:rtl w:val="0"/>
              </w:rPr>
              <w:t xml:space="preserve">ED </w:t>
            </w: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4cccc" w:val="clear"/>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b w:val="1"/>
                <w:bCs w:val="1"/>
                <w:color w:val="008000"/>
                <w:rtl w:val="0"/>
              </w:rPr>
              <w:t xml:space="preserve">PD </w:t>
            </w: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e2f0d9" w:val="clear"/>
            <w:vAlign w:val="center"/>
          </w:tcPr>
          <w:p w:rsidR="00000000" w:rsidDel="00000000" w:rsidP="00000000" w:rsidRDefault="00000000" w:rsidRPr="00000000" w14:paraId="000000C8">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e2f0d9" w:val="clear"/>
            <w:vAlign w:val="center"/>
          </w:tcPr>
          <w:p w:rsidR="00000000" w:rsidDel="00000000" w:rsidP="00000000" w:rsidRDefault="00000000" w:rsidRPr="00000000" w14:paraId="000000CE">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e2f0d9" w:val="clear"/>
            <w:vAlign w:val="center"/>
          </w:tcPr>
          <w:p w:rsidR="00000000" w:rsidDel="00000000" w:rsidP="00000000" w:rsidRDefault="00000000" w:rsidRPr="00000000" w14:paraId="000000D6">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e2f0d9" w:val="clear"/>
            <w:vAlign w:val="center"/>
          </w:tcPr>
          <w:p w:rsidR="00000000" w:rsidDel="00000000" w:rsidP="00000000" w:rsidRDefault="00000000" w:rsidRPr="00000000" w14:paraId="000000DC">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e2f0d9" w:val="clear"/>
            <w:vAlign w:val="center"/>
          </w:tcPr>
          <w:p w:rsidR="00000000" w:rsidDel="00000000" w:rsidP="00000000" w:rsidRDefault="00000000" w:rsidRPr="00000000" w14:paraId="000000E2">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e2f0d9" w:val="clear"/>
            <w:vAlign w:val="center"/>
          </w:tcPr>
          <w:p w:rsidR="00000000" w:rsidDel="00000000" w:rsidP="00000000" w:rsidRDefault="00000000" w:rsidRPr="00000000" w14:paraId="000000E8">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e2f0d9" w:val="clear"/>
            <w:vAlign w:val="center"/>
          </w:tcPr>
          <w:p w:rsidR="00000000" w:rsidDel="00000000" w:rsidP="00000000" w:rsidRDefault="00000000" w:rsidRPr="00000000" w14:paraId="000000EF">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e2f0d9" w:val="clear"/>
            <w:vAlign w:val="center"/>
          </w:tcPr>
          <w:p w:rsidR="00000000" w:rsidDel="00000000" w:rsidP="00000000" w:rsidRDefault="00000000" w:rsidRPr="00000000" w14:paraId="000000F5">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e2f0d9" w:val="clear"/>
            <w:vAlign w:val="center"/>
          </w:tcPr>
          <w:p w:rsidR="00000000" w:rsidDel="00000000" w:rsidP="00000000" w:rsidRDefault="00000000" w:rsidRPr="00000000" w14:paraId="000000FB">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e2f0d9" w:val="clear"/>
            <w:vAlign w:val="center"/>
          </w:tcPr>
          <w:p w:rsidR="00000000" w:rsidDel="00000000" w:rsidP="00000000" w:rsidRDefault="00000000" w:rsidRPr="00000000" w14:paraId="00000102">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e2f0d9" w:val="clear"/>
            <w:vAlign w:val="center"/>
          </w:tcPr>
          <w:p w:rsidR="00000000" w:rsidDel="00000000" w:rsidP="00000000" w:rsidRDefault="00000000" w:rsidRPr="00000000" w14:paraId="00000108">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e2f0d9"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b w:val="1"/>
                <w:bCs w:val="1"/>
                <w:color w:val="008000"/>
                <w:rtl w:val="0"/>
              </w:rPr>
              <w:t xml:space="preserve">X </w:t>
            </w: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utilizando estructuras gramaticales y vocabulario con errores graves.</w:t>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4G+8CLtHLf6cyd377Q4S3jXjIg==">CgMxLjA4AHIhMW1PaW5oWDhHb2hDMERzUnVYZHN0dDNMZUNpb1JMRHkw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