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hRule="atLeast"/>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20" w:after="40" w:line="252" w:lineRule="auto"/>
              <w:jc w:val="both"/>
            </w:pPr>
            <w:r>
              <w:rPr>
                <w:rFonts w:ascii="Arial" w:hAnsi="Arial"/>
                <w:b w:val="0"/>
                <w:color w:val="000000"/>
                <w:sz w:val="18"/>
              </w:rPr>
              <w:t>El avance respecto de la Carta Gantt ha sido importante, pero no todas las actividades se han completado en los tiempos previstos. Ya contamos con funcionalidades de reserva Web, gestión institucional Desktop, notificaciones y reasignación; también comprobamos la recepción de correos de confirmación. Nos han ayudado la división del trabajo entre los tres integrantes, el repositorio GitHub y las pruebas automatizadas. Entre las dificultades destacan la integración con proveedores externos y el retraso en formalizar la documentación y las ceremonias Scrum.</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hRule="atLeast"/>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20" w:after="40" w:line="252" w:lineRule="auto"/>
              <w:jc w:val="both"/>
            </w:pPr>
            <w:r>
              <w:rPr>
                <w:rFonts w:ascii="Arial" w:hAnsi="Arial"/>
                <w:b w:val="0"/>
                <w:color w:val="000000"/>
                <w:sz w:val="18"/>
              </w:rPr>
              <w:t>Hemos enfrentado los problemas mediante pruebas por etapas, revisión de errores y ajustes del alcance. Por ejemplo, tras verificar restricciones de Meta, retiramos WhatsApp del entregable y conservamos evidencias de la decisión. Para evitar riesgos mantuvimos respaldos y dejamos pendiente la reconciliación de una migración local, sin alterar datos. Planeamos cerrar la validación del correo con logo, completar pruebas y evidencias, y organizar Sprint Backlogs, retrospectivas y revisiones documentadas con acuerdos reales del equipo.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hRule="atLeast"/>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20" w:after="40" w:line="252" w:lineRule="auto"/>
              <w:jc w:val="both"/>
            </w:pPr>
            <w:r>
              <w:rPr>
                <w:rFonts w:ascii="Arial" w:hAnsi="Arial"/>
                <w:b w:val="0"/>
                <w:color w:val="000000"/>
                <w:sz w:val="18"/>
              </w:rPr>
              <w:t>Evalúo positivamente mi participación en el desarrollo y seguimiento de CitaJusta. Destaco el apoyo en la revisión técnica, la preparación de la demostración y la comprobación manual de la reserva Web, el correo recibido por Gmail y las consultas desde Desktop. He aprendido la importancia de validar un flujo completo, no solo que el código compile. Debo mejorar la planificación de mis entregables, dejar evidencias oportunamente y coordinar con más anticipación las tareas de documentación y cierre académico.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hRule="atLeast"/>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20" w:after="40" w:line="252" w:lineRule="auto"/>
              <w:jc w:val="both"/>
            </w:pPr>
            <w:r>
              <w:rPr>
                <w:rFonts w:ascii="Arial" w:hAnsi="Arial"/>
                <w:b w:val="0"/>
                <w:color w:val="000000"/>
                <w:sz w:val="18"/>
              </w:rPr>
              <w:t>Me interesa aclarar con el docente cómo acreditar correctamente Sprint Planning, Sprint Review y Sprint Retrospective, y qué evidencias deben acompañar cada Sprint. También necesitamos confirmar los requisitos y nombres exactos de las guías 2.4 y 2.6, los mockups, los diagramas de arquitectura, las pruebas y el despliegue. Otra consulta es cómo medir formalmente el porcentaje de avance desde el Product Backlog: por ahora estimamos un 70 % general y un 80 % técnico, cifras aún no calculadas de manera definitiva.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hRule="atLeast"/>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20" w:after="40" w:line="252" w:lineRule="auto"/>
              <w:jc w:val="both"/>
            </w:pPr>
            <w:r>
              <w:rPr>
                <w:rFonts w:ascii="Arial" w:hAnsi="Arial"/>
                <w:b w:val="0"/>
                <w:color w:val="000000"/>
                <w:sz w:val="18"/>
              </w:rPr>
              <w:t>Sí consideramos necesario ordenar explícitamente las actividades restantes, más que redistribuir retrospectivamente el trabajo ya realizado. Como equipo debemos acordar responsables y fechas para actualizar Scrum, completar las guías 2.4 y 2.6, preparar mockups y arquitectura, reunir evidencias de pruebas y finalizar las validaciones. Los tres integrantes hemos avanzado en distintas partes del proyecto; la asignación concreta de las tareas pendientes debe confirmarse entre nosotros y registrarse en el Sprint Backlog correspondiente.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hRule="atLeast"/>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20" w:after="40" w:line="252" w:lineRule="auto"/>
              <w:jc w:val="both"/>
            </w:pPr>
            <w:r>
              <w:rPr>
                <w:rFonts w:ascii="Arial" w:hAnsi="Arial"/>
                <w:b w:val="0"/>
                <w:color w:val="000000"/>
                <w:sz w:val="18"/>
              </w:rPr>
              <w:t>Valoramos positivamente el trabajo grupal: cada integrante ha contribuido a distintas partes del sistema y hoy contamos con un flujo funcional entre Web, backend, correo y Desktop. Destacamos la capacidad de resolver problemas técnicos y adaptarnos cuando una integración externa no era viable. Debemos mejorar la coordinación del equipo, realizar y registrar formalmente las ceremonias Scrum, revisar juntos los entregables antes de subirlos y mantener el Product Backlog y la documentación al día para que reflejen el avance real.</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CitaJusta</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dc:subject>APT122 — Diario de Reflexión Fase 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