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62"/>
          <w:szCs w:val="62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DIAGRAMAS UML DE SECUENCIA</w:t>
        <w:br w:type="textWrapping"/>
        <w:t xml:space="preserve">Y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Proyecto Capstone · Ingeniería en Informática</w:t>
        <w:br w:type="textWrapping"/>
        <w:t xml:space="preserve">Duoc UC · Fase 2 · Evidencias de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1"/>
        <w:gridCol w:w="4961"/>
        <w:tblGridChange w:id="0">
          <w:tblGrid>
            <w:gridCol w:w="4961"/>
            <w:gridCol w:w="4961"/>
          </w:tblGrid>
        </w:tblGridChange>
      </w:tblGrid>
      <w:tr>
        <w:trPr>
          <w:cantSplit w:val="0"/>
          <w:tblHeader w:val="0"/>
        </w:trPr>
        <w:tc>
          <w:tcPr>
            <w:shd w:fill="e9f0f8" w:val="clear"/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0f8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0.1 — Plantilla de incorporación de diagramas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Borrador documental · Diagramas pendientes de inserción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12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Base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Requisitos Funcionales v0.2; Arquitectura de Software v0.2; código del repositorio al cierre de HU-042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Nota sobre HU-043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Implementación local; validación externa con Meta aún 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32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Formato editable para integrar figuras elaboradas en draw.io.</w:t>
        <w:br w:type="textWrapping"/>
        <w:t xml:space="preserve">No incluye diagramas insertados.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Propósito y alcance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reúne los espacios y las especificaciones para los diagramas UML de secuencia y componentes de CitaJusta. Las figuras se diseñarán en diagrams.net (draw.io) y se incorporarán posteriormente a este archivo Word.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secuencia de cada proceso refleja reglas verificadas en el repositorio y en la documentación arquitectónica vigente. El documento describe la interacción esperada entre cliente, API, módulos y base de datos; no sustituye pruebas de ejecución.</w:t>
      </w:r>
    </w:p>
    <w:p w:rsidR="00000000" w:rsidDel="00000000" w:rsidP="00000000" w:rsidRDefault="00000000" w:rsidRPr="00000000" w14:paraId="0000001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 Sistema modelado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Web: React, Vite y TypeScript, orientada al usuario final.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Desktop: Tauri 2 y React, orientada a operación institucional según permisos.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Backend: API REST NestJS bajo /api/v1, con autenticación, RBAC y AuthorizationContext.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Persistencia: Prisma 7.10.0 sobre PostgreSQL, autoridad para agenda, citas, reasignaciones y auditoría.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Canales externos: adaptadores desacoplados del resultado de negocio; su disponibilidad no modifica citas ya confirmadas.</w:t>
      </w:r>
    </w:p>
    <w:p w:rsidR="00000000" w:rsidDel="00000000" w:rsidP="00000000" w:rsidRDefault="00000000" w:rsidRPr="00000000" w14:paraId="0000002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1.2. Índice de diagramas que incorporaremos</w:t>
      </w:r>
    </w:p>
    <w:tbl>
      <w:tblPr>
        <w:tblStyle w:val="Table2"/>
        <w:tblW w:w="992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7"/>
        <w:gridCol w:w="3307"/>
        <w:gridCol w:w="3307"/>
        <w:tblGridChange w:id="0">
          <w:tblGrid>
            <w:gridCol w:w="3307"/>
            <w:gridCol w:w="3307"/>
            <w:gridCol w:w="3307"/>
          </w:tblGrid>
        </w:tblGridChange>
      </w:tblGrid>
      <w:tr>
        <w:trPr>
          <w:cantSplit w:val="0"/>
          <w:tblHeader w:val="0"/>
        </w:trPr>
        <w:tc>
          <w:tcPr>
            <w:shd w:fill="e9f0f8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0f8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0f8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Archivo editable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Secuencia — Reserva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CitaJusta_UML_Secuencia_Reserva_v0.1.drawio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Secuencia — Cancelación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CitaJusta_UML_Secuencia_Cancelacion_v0.1.drawio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Secuencia — Aceptación de 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CitaJusta_UML_Secuencia_Reasignacion_v0.1.drawio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Componentes — Arquitectura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CitaJusta_UML_Componentes_General_v0.1.drawio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1.3. Criterios de representación</w:t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los diagramas de secuencia se mostrarán líneas de vida, mensajes, retorno y fragmentos alt/opt sólo cuando sean pertinentes. Las escrituras atómicas pueden representarse como un bloque «transacción PostgreSQL»; no es necesario mostrar cada consulta Prisma si ello perjudica la lectura.</w:t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el diagrama de componentes se separarán claramente clientes, API, persistencia y servicios externos. Una asociación visual no debe implicar acceso directo de Web/Desktop a la base de datos.</w:t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Diagramas UML de secuencia</w:t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 Reserva de cita — Figura 1</w:t>
      </w:r>
    </w:p>
    <w:p w:rsidR="00000000" w:rsidDel="00000000" w:rsidP="00000000" w:rsidRDefault="00000000" w:rsidRPr="00000000" w14:paraId="00000037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Objetivo:  </w:t>
      </w:r>
      <w:r w:rsidDel="00000000" w:rsidR="00000000" w:rsidRPr="00000000">
        <w:rPr>
          <w:color w:val="000000"/>
          <w:rtl w:val="0"/>
        </w:rPr>
        <w:t xml:space="preserve">Mostrar cómo la Web solicita una reserva y la API confirma la exclusividad del cupo mediante una transacción.</w:t>
      </w:r>
    </w:p>
    <w:p w:rsidR="00000000" w:rsidDel="00000000" w:rsidP="00000000" w:rsidRDefault="00000000" w:rsidRPr="00000000" w14:paraId="00000038">
      <w:pPr>
        <w:spacing w:after="6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537643" cy="617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643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jc w:val="center"/>
        <w:rPr>
          <w:color w:val="000000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CitaJusta_UML_Secuencia_Reserva.drawio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articipantes sugeridos:  </w:t>
      </w:r>
      <w:r w:rsidDel="00000000" w:rsidR="00000000" w:rsidRPr="00000000">
        <w:rPr>
          <w:color w:val="000000"/>
          <w:rtl w:val="0"/>
        </w:rPr>
        <w:t xml:space="preserve">Usuario final · Aplicación Web · API NestJS · AppointmentsService · Prisma/PostgreSQL · servicio de notificaciones.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1. Secuencia de reserva de cita. Fuente: elaboración propia en diagrams.net.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Mensajes principales a representar: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selecciona un cupo; la Web envía la solicitud autenticada a la API.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API comprueba identidad activa y disponibilidad efectiva del cupo.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una transacción, AgendaSlot pasa de AVAILABLE a RESERVED con comprobación de lockVersion; si cambió, se rechaza el intento.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crea una única Appointment vinculada al cupo, su historial, auditoría y notificación interna.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transacción confirma y la API retorna el resultado para mostrar la reserva en la Web.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Flujo alternativo: cupo ocupado, bloqueado, vencido o actualizado concurrentemente → no se confirma una segunda reserva.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Cancelación de cita — Figura 2</w:t>
      </w:r>
    </w:p>
    <w:p w:rsidR="00000000" w:rsidDel="00000000" w:rsidP="00000000" w:rsidRDefault="00000000" w:rsidRPr="00000000" w14:paraId="00000043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Objetivo:  </w:t>
      </w:r>
      <w:r w:rsidDel="00000000" w:rsidR="00000000" w:rsidRPr="00000000">
        <w:rPr>
          <w:color w:val="000000"/>
          <w:rtl w:val="0"/>
        </w:rPr>
        <w:t xml:space="preserve">Explicar la liberación controlada de un cupo y la activación de reasignación cuando resulte reutilizable.</w:t>
      </w:r>
    </w:p>
    <w:p w:rsidR="00000000" w:rsidDel="00000000" w:rsidP="00000000" w:rsidRDefault="00000000" w:rsidRPr="00000000" w14:paraId="00000044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Participantes sugeridos:  </w:t>
      </w:r>
      <w:r w:rsidDel="00000000" w:rsidR="00000000" w:rsidRPr="00000000">
        <w:rPr>
          <w:color w:val="000000"/>
          <w:rtl w:val="0"/>
        </w:rPr>
        <w:t xml:space="preserve">Usuario final · Aplicación Web · API NestJS · AppointmentsService · Prisma/PostgreSQL · módulo de reasignaciones · notificaciones.</w:t>
      </w:r>
    </w:p>
    <w:p w:rsidR="00000000" w:rsidDel="00000000" w:rsidP="00000000" w:rsidRDefault="00000000" w:rsidRPr="00000000" w14:paraId="00000045">
      <w:pPr>
        <w:spacing w:after="60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300160" cy="588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jc w:val="center"/>
        <w:rPr>
          <w:color w:val="000000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CitaJusta_UML_Secuencia_Cancelacion.drawio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2. Secuencia de cancelación de cita. Fuente: elaboración propia en diagrams.net.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Mensajes principales a representar: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solicita cancelar una cita propia desde la Web.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API valida autenticación, titularidad y estado vigente de la cita.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transacción registra la cancelación y actualiza el cupo a RELEASED con control de lockVersion.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preserva la Appointment vinculada al slot y se registran historial, auditoría y notificación interna.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Cuando el cupo es reutilizable, se inicia el proceso de reasignación conforme a las reglas existentes; si no, la cancelación concluye sin generar una reasignación inválida.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Alternativa: repetición de una cancelación ya procesada no debe crear nuevos procesos ni alterar retroactivamente el estado.</w:t>
      </w:r>
    </w:p>
    <w:p w:rsidR="00000000" w:rsidDel="00000000" w:rsidP="00000000" w:rsidRDefault="00000000" w:rsidRPr="00000000" w14:paraId="0000004F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2.3. Aceptación de oferta de reasignación — Figura 3</w:t>
      </w:r>
    </w:p>
    <w:p w:rsidR="00000000" w:rsidDel="00000000" w:rsidP="00000000" w:rsidRDefault="00000000" w:rsidRPr="00000000" w14:paraId="00000050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Objetivo:  </w:t>
      </w:r>
      <w:r w:rsidDel="00000000" w:rsidR="00000000" w:rsidRPr="00000000">
        <w:rPr>
          <w:color w:val="000000"/>
          <w:rtl w:val="0"/>
        </w:rPr>
        <w:t xml:space="preserve">Mostrar el uso transaccional de una oferta válida y la transferencia de la cita existente al usuario destinatario.</w:t>
      </w:r>
    </w:p>
    <w:p w:rsidR="00000000" w:rsidDel="00000000" w:rsidP="00000000" w:rsidRDefault="00000000" w:rsidRPr="00000000" w14:paraId="00000051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Participantes sugeridos:  </w:t>
      </w:r>
      <w:r w:rsidDel="00000000" w:rsidR="00000000" w:rsidRPr="00000000">
        <w:rPr>
          <w:color w:val="000000"/>
          <w:rtl w:val="0"/>
        </w:rPr>
        <w:t xml:space="preserve">Usuario destinatario · Web · API NestJS · ReassignmentsService · Prisma/PostgreSQL · auditoría/notificaciones.</w:t>
      </w:r>
    </w:p>
    <w:p w:rsidR="00000000" w:rsidDel="00000000" w:rsidP="00000000" w:rsidRDefault="00000000" w:rsidRPr="00000000" w14:paraId="00000052">
      <w:pPr>
        <w:spacing w:after="60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300160" cy="581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jc w:val="center"/>
        <w:rPr>
          <w:color w:val="000000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CitaJusta_UML_Secuencia_Reasignacion.drawio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3. Secuencia de aceptación de reasignación. Fuente: elaboración propia en diagrams.net.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Mensajes principales a representar: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destinatario acepta una oferta vigente recibida para un cupo liberado.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API verifica identidad, vigencia de la oferta, candidato, estado de la lista de espera y versión esperada del cupo.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transacción, la oferta pasa a ACCEPTED y el AgendaSlot RELEASED vuelve a RESERVED.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actualiza la Appointment ya asociada al slot, transfiriendo el usuario y su estado; NO se crea otra Appointment para el mismo cupo.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entrada de lista de espera se cumple; la reasignación se completa y se generan historial, auditoría y notificación.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Alternativa: oferta vencida, cambio concurrente o condición no elegible → la transacción no debe dejar una transferencia parcial. No representar locks en memoria.</w:t>
      </w:r>
    </w:p>
    <w:p w:rsidR="00000000" w:rsidDel="00000000" w:rsidP="00000000" w:rsidRDefault="00000000" w:rsidRPr="00000000" w14:paraId="0000005C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Diagrama UML de componentes</w:t>
      </w:r>
    </w:p>
    <w:p w:rsidR="00000000" w:rsidDel="00000000" w:rsidP="00000000" w:rsidRDefault="00000000" w:rsidRPr="00000000" w14:paraId="0000005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 Arquitectura general de CitaJusta — Figura 4</w:t>
      </w:r>
    </w:p>
    <w:p w:rsidR="00000000" w:rsidDel="00000000" w:rsidP="00000000" w:rsidRDefault="00000000" w:rsidRPr="00000000" w14:paraId="0000005F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Objetivo:  </w:t>
      </w:r>
      <w:r w:rsidDel="00000000" w:rsidR="00000000" w:rsidRPr="00000000">
        <w:rPr>
          <w:color w:val="000000"/>
          <w:rtl w:val="0"/>
        </w:rPr>
        <w:t xml:space="preserve">Representar los principales componentes y sus dependencias sin confundir cliente, backend, persistencia y proveedores externos.</w:t>
      </w:r>
    </w:p>
    <w:p w:rsidR="00000000" w:rsidDel="00000000" w:rsidP="00000000" w:rsidRDefault="00000000" w:rsidRPr="00000000" w14:paraId="00000060">
      <w:pPr>
        <w:spacing w:after="6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593203" cy="42990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3203" cy="429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jc w:val="center"/>
        <w:rPr>
          <w:color w:val="000000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CitaJusta_UML_Componentes_General.drawio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4. Arquitectura general de componentes. Fuente: elaboración propia en diagrams.net.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Componentes y conexiones que debe incluir la figura: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Web (React/Vite/TypeScript) y cliente Desktop (Tauri 2/React) → consumen API REST NestJS.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NestJS → módulos de autenticación/autorización, agenda, citas, lista de espera, reasignación, notificaciones y auditoría.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Módulos del backend → Prisma → PostgreSQL. Los clientes no conectan directamente con PostgreSQL.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Adaptadores externos aislados: Resend y Google OAuth/Calendar; mapas mediante OpenStreetMap y enlaces a Google Maps, según las capacidades implementadas.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 Cloud API (HU-043): canal opcional en implementación local, sujeto a plantilla y validación manual; no representarlo como producción aprobada.</w:t>
      </w:r>
    </w:p>
    <w:p w:rsidR="00000000" w:rsidDel="00000000" w:rsidP="00000000" w:rsidRDefault="00000000" w:rsidRPr="00000000" w14:paraId="0000006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Incorporación de figuras y control documental</w:t>
      </w:r>
    </w:p>
    <w:p w:rsidR="00000000" w:rsidDel="00000000" w:rsidP="00000000" w:rsidRDefault="00000000" w:rsidRPr="00000000" w14:paraId="0000006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Una vez creados los archivos en diagrams.net, exportar cada diagrama en PNG de alta resolución o SVG e insertarlo en su recuadro correspondiente. Conservar además el .drawio editable en la carpeta de Evidencias de documentación.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Antes de publicar: comprobar legibilidad al tamaño de página, numeración Figura 1–4, coherencia con el código, y que no se hayan eliminado figuras históricas de otros documentos.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Fuentes de referencia: CitaJusta_Arquitectura_de_Software_v0.2.docx; CitaJusta_Arquitectura_APIs_v0.2.docx; CitaJusta_Requisitos_Funcionales_v0.2.docx; repositorio de CitaJusta (módulos appointments, reassignments y notifications) al corte de HU-042.</w:t>
      </w:r>
    </w:p>
    <w:sectPr>
      <w:headerReference r:id="rId15" w:type="default"/>
      <w:footerReference r:id="rId16" w:type="default"/>
      <w:pgSz w:h="16838" w:w="11906" w:orient="portrait"/>
      <w:pgMar w:bottom="964" w:top="1077" w:left="992" w:right="992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92f4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06073"/>
        <w:sz w:val="16"/>
        <w:szCs w:val="16"/>
        <w:u w:val="none"/>
        <w:shd w:fill="auto" w:val="clear"/>
        <w:vertAlign w:val="baseline"/>
        <w:rtl w:val="0"/>
      </w:rPr>
      <w:t xml:space="preserve">UML de Secuencia y Componentes · v0.1    |  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92f4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76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0607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06073"/>
        <w:sz w:val="18"/>
        <w:szCs w:val="18"/>
        <w:u w:val="none"/>
        <w:shd w:fill="auto" w:val="clear"/>
        <w:vertAlign w:val="baseline"/>
        <w:rtl w:val="0"/>
      </w:rPr>
      <w:t xml:space="preserve">CITAJUSTA  /  EVIDENCIAS PROYECTO  / 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92f4d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220" w:lineRule="auto"/>
    </w:pPr>
    <w:rPr>
      <w:rFonts w:ascii="Play" w:cs="Play" w:eastAsia="Play" w:hAnsi="Play"/>
      <w:b w:val="1"/>
      <w:bCs w:val="1"/>
      <w:color w:val="192f4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Play" w:cs="Play" w:eastAsia="Play" w:hAnsi="Play"/>
      <w:b w:val="1"/>
      <w:bCs w:val="1"/>
      <w:color w:val="192f4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80" w:before="0" w:line="240" w:lineRule="auto"/>
    </w:pPr>
    <w:rPr>
      <w:rFonts w:ascii="Play" w:cs="Play" w:eastAsia="Play" w:hAnsi="Play"/>
      <w:b w:val="1"/>
      <w:bCs w:val="1"/>
      <w:color w:val="192f4d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mallNote" w:customStyle="1">
    <w:name w:val="Small Note"/>
    <w:pPr>
      <w:spacing w:after="100"/>
    </w:pPr>
    <w:rPr>
      <w:rFonts w:ascii="Aptos" w:hAnsi="Aptos"/>
      <w:color w:val="506073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YOdltsXn-UiY58-9kY7RsHNq1P8ahASb/view?usp=drive_link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drive.google.com/file/d/1HzHlylG8aCEKb-gXceFfh7iyd_fQRqvq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0mUapb68iC4sCn7CN91sL0Pn1nemAFYx/view?usp=drive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oRcYCDdAF9hz9QD2f12zaHifa0xnay1x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0bxpaFvI/yeeXieNT3X+CbkVdw==">CgMxLjA4AHIhMUo4eEtYS1dUWWlid2VSTFdrckY5Y3cyMmVjVGd3bFBC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CitaJusta</dc:creator>
</cp:coreProperties>
</file>