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sz w:val="56"/>
          <w:szCs w:val="56"/>
          <w:rtl w:val="0"/>
        </w:rPr>
        <w:t xml:space="preserve">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56"/>
          <w:szCs w:val="56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>Proyecto de Título: Ingeniería en Informática</w:t>
        <w:br/>
        <w:t>Sede: Duoc UC Puente Alto</w:t>
        <w:br/>
        <w:t>Versión: 0.2</w:t>
        <w:br/>
        <w:t>Estado: Actualizado</w:t>
        <w:br/>
        <w:t>Fecha: 04 de octubre de 2026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before="3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733675" cy="2733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Matías Andrés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Bastian Sepúlveda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Diego Simon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Control de versiones</w:t>
      </w:r>
    </w:p>
    <w:tbl>
      <w:tblPr>
        <w:tblStyle w:val="Table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0A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0B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0C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0D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/>
          <w:p w:rsidR="00000000" w:rsidDel="00000000" w:rsidP="00000000" w:rsidRDefault="00000000" w:rsidRPr="00000000" w14:paraId="0000000E">
            <w:pPr>
              <w:rPr/>
              <w:keepLines w:val="1"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  <w:keepLines w:val="1"/>
            </w:pPr>
            <w:r w:rsidDel="00000000" w:rsidR="00000000" w:rsidRPr="00000000">
              <w:rPr>
                <w:rtl w:val="0"/>
              </w:rPr>
              <w:t xml:space="preserve">24-08-2026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  <w:keepLines w:val="1"/>
            </w:pPr>
            <w:r w:rsidDel="00000000" w:rsidR="00000000" w:rsidRPr="00000000">
              <w:rPr>
                <w:rtl w:val="0"/>
              </w:rPr>
              <w:t xml:space="preserve">Equipo CitaJusta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  <w:keepLines w:val="1"/>
            </w:pPr>
            <w:r w:rsidDel="00000000" w:rsidR="00000000" w:rsidRPr="00000000">
              <w:rPr>
                <w:rtl w:val="0"/>
              </w:rPr>
              <w:t xml:space="preserve">Creación inicial del documento requisitos funcionales.</w:t>
            </w:r>
          </w:p>
        </w:tc>
      </w:tr>
      <w:tr>
        <w:trPr>
          <w:cantSplit w:val="1"/>
        </w:trPr>
        <w:tc>
          <w:tcPr>
            <w:tcW w:type="dxa" w:w="2541"/>
          </w:tcPr>
          <w:p>
            <w:pPr>
              <w:keepLines w:val="1"/>
            </w:pPr>
            <w:r>
              <w:t>0.2</w:t>
            </w:r>
          </w:p>
        </w:tc>
        <w:tc>
          <w:tcPr>
            <w:tcW w:type="dxa" w:w="2541"/>
          </w:tcPr>
          <w:p>
            <w:pPr>
              <w:keepLines w:val="1"/>
            </w:pPr>
            <w:r>
              <w:t>04-10-2026</w:t>
            </w:r>
          </w:p>
        </w:tc>
        <w:tc>
          <w:tcPr>
            <w:tcW w:type="dxa" w:w="2541"/>
          </w:tcPr>
          <w:p>
            <w:pPr>
              <w:keepLines w:val="1"/>
            </w:pPr>
            <w:r>
              <w:t>Equipo CitaJusta</w:t>
            </w:r>
          </w:p>
        </w:tc>
        <w:tc>
          <w:tcPr>
            <w:tcW w:type="dxa" w:w="2541"/>
          </w:tcPr>
          <w:p>
            <w:pPr>
              <w:keepLines w:val="1"/>
            </w:pPr>
            <w:r>
              <w:t>Actualización para incorporar RF-039 a RF-043 de integraciones externas y alinear el documento con la planificación de Sprint 8.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4753046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Propósito del documento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Convenciones y prioridad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Autenticación y cuenta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Instituciones, sedes, servicios y profesionales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Agenda y citas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Lista de espera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Motor de reasignación y ofertas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Notificaciones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Administración, reportes y auditoría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Integraciones externas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Requisitos funcionales del MVP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Trazabilidad con Scrum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Conclusión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1. Propósito del documento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>Este documento identifica los requisitos funcionales de CitaJusta y sus vínculos con historias y criterios de aceptación. Tras la revisión del 16-10-2026, RF-039 a RF-042 están dentro del alcance implementado y RF-043 se conserva sólo como referencia histórica de un requisito formalmente excluido del entregable.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2. Convenciones y prioridad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Cada requisito utiliza el identificador RF-XXX. La prioridad se clasifica como Crítica, Alta, Media o Baja. La columna de alcance distingue entre funcionalidades obligatorias del Producto Mínimo Viable (MVP) y funcionalidades de la versión objetivo.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3. Autenticación y cuenta</w:t>
      </w:r>
    </w:p>
    <w:tbl>
      <w:tblPr>
        <w:tblStyle w:val="Table2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0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1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2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3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4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el registro de un usuario final con los datos mínimos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iniciar y cerrar sesión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recuperar el acceso a una cuenta mediante un flujo controlado.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consultar y actualizar datos básicos del perfil y preferencias de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4. Instituciones, sedes, servicios y profesionales</w:t>
      </w:r>
    </w:p>
    <w:tbl>
      <w:tblPr>
        <w:tblStyle w:val="Table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A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B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C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D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E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registrar y administrar instituciones.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registrar y administrar sedes asociadas a una institución.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crear, editar, activar y desactivar servicios ofrecidos por una institución.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registrar profesionales y asociarlos a servicios y sedes.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configurar disponibilidad, bloques de atención e indisponibilidades de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búsqueda y filtros operativos sobre usuarios, citas, listas de espera y reasignaciones.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5. Agenda y citas</w:t>
      </w:r>
    </w:p>
    <w:tbl>
      <w:tblPr>
        <w:tblStyle w:val="Table4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6E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6F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70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71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72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consultar la agenda por fecha, sede, servicio, profesional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usuario buscar citas por servicio, sede y preferencia temporal.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Mostrar los cupos disponibles compatibles con los filtros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reservar un cupo disponible y generar la cita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consultar el detalle y estado de las citas propias.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cancelar una cita y registrar el evento asociado.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confirmar asistencia cuando la regla institucional lo requiera.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funcionario registrar asistencia o inasistencia.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6. Lista de espera</w:t>
      </w:r>
    </w:p>
    <w:tbl>
      <w:tblPr>
        <w:tblStyle w:val="Table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9C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9D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9E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9F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A0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ingresar a una lista de espera cuando no exista disponibilidad adecuada.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registrar días, rangos horarios y sedes preferidas.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consultar el estado de las solicitudes de espera activas.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modificar preferencias válidas o retirarse de la lista.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7. Motor de reasignación y ofertas</w:t>
      </w:r>
    </w:p>
    <w:tbl>
      <w:tblPr>
        <w:tblStyle w:val="Table6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6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7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8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9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A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Detectar una cancelación y marcar el cupo como disponible para reasignación.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Buscar candidatos activos de la lista de espera para el mismo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Excluir candidatos incompatibles según sede, disponibilidad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Ordenar candidatos aplicando reglas de prioridad y compatibilidad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Generar una oferta temporal para el candidato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usuario aceptar una oferta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rechazar una oferta y registrar el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Expirar automáticamente una oferta al superar su tiempo de vigencia.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Continuar con el siguiente candidato cuando la oferta sea rechazada o expire.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Confirmar la disponibilidad del cupo antes de efectuar la reasignación definitiva.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supervisión y, con autorización, ejecución manual de reasignaciones excepcionales.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Mostrar los criterios principales que justifican el orden de candidatos.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8. Notificaciones</w:t>
      </w:r>
    </w:p>
    <w:tbl>
      <w:tblPr>
        <w:tblStyle w:val="Table7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8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9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A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B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C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Generar notificaciones internas por confirmación, cancelación, lista de espera y ofertas.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9. Administración, reportes y auditoría</w:t>
      </w:r>
    </w:p>
    <w:tbl>
      <w:tblPr>
        <w:tblStyle w:val="Table8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3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4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5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6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7">
            <w:pPr>
              <w:rPr/>
              <w:keepLines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Restringir acciones y vistas según rol y permiso.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Registrar eventos críticos de autenticación, citas, ofertas, reasignaciones y cambios administrativos.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Consultar indicadores de citas, cancelaciones, inasistencias, ofertas y cupos recuperados.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  <w:keepLines w:val="1"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>10. Integraciones externas</w:t>
      </w:r>
    </w:p>
    <w:tbl>
      <w:tblPr>
        <w:tblStyle w:val="Table8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eaf7f6" w:val="clear"/>
            <w:vAlign w:val="center"/>
          </w:tcPr>
          <w:p>
            <w:pPr>
              <w:keepLines w:val="1"/>
            </w:pPr>
            <w:r>
              <w:t>ID</w:t>
            </w:r>
          </w:p>
        </w:tc>
        <w:tc>
          <w:tcPr>
            <w:shd w:fill="eaf7f6" w:val="clear"/>
            <w:vAlign w:val="center"/>
          </w:tcPr>
          <w:p>
            <w:pPr>
              <w:keepLines w:val="1"/>
            </w:pPr>
            <w:r>
              <w:t>Módulo</w:t>
            </w:r>
          </w:p>
        </w:tc>
        <w:tc>
          <w:tcPr>
            <w:shd w:fill="eaf7f6" w:val="clear"/>
            <w:vAlign w:val="center"/>
          </w:tcPr>
          <w:p>
            <w:pPr>
              <w:keepLines w:val="1"/>
            </w:pPr>
            <w:r>
              <w:t>Requisito</w:t>
            </w:r>
          </w:p>
        </w:tc>
        <w:tc>
          <w:tcPr>
            <w:shd w:fill="eaf7f6" w:val="clear"/>
            <w:vAlign w:val="center"/>
          </w:tcPr>
          <w:p>
            <w:pPr>
              <w:keepLines w:val="1"/>
            </w:pPr>
            <w:r>
              <w:t>Prioridad</w:t>
            </w:r>
          </w:p>
        </w:tc>
        <w:tc>
          <w:tcPr>
            <w:shd w:fill="eaf7f6" w:val="clear"/>
            <w:vAlign w:val="center"/>
          </w:tcPr>
          <w:p>
            <w:pPr>
              <w:keepLines w:val="1"/>
            </w:pPr>
            <w:r>
              <w:t>Alcance</w:t>
            </w:r>
          </w:p>
        </w:tc>
      </w:tr>
      <w:tr>
        <w:trPr>
          <w:cantSplit w:val="1"/>
        </w:trPr>
        <w:tc>
          <w:tcPr>
            <w:vAlign w:val="top"/>
          </w:tcPr>
          <w:p>
            <w:pPr>
              <w:keepLines w:val="1"/>
            </w:pPr>
            <w:r>
              <w:t>RF-039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Notificaciones externas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Enviar correos transaccionales mediante Resend para eventos priorizados de citas, cancelaciones, ofertas y reasignaciones, sin alterar el estado de negocio ya persistido.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Alta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Objetivo</w:t>
            </w:r>
          </w:p>
        </w:tc>
      </w:tr>
      <w:tr>
        <w:trPr>
          <w:cantSplit w:val="1"/>
        </w:trPr>
        <w:tc>
          <w:tcPr>
            <w:vAlign w:val="top"/>
          </w:tcPr>
          <w:p>
            <w:pPr>
              <w:keepLines w:val="1"/>
            </w:pPr>
            <w:r>
              <w:t>RF-040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Autenticación externa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Permitir iniciar sesión mediante Google OAuth / OpenID Connect como método adicional, preservando la autenticación, RBAC y contexto institucional existentes.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Alta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Objetivo</w:t>
            </w:r>
          </w:p>
        </w:tc>
      </w:tr>
      <w:tr>
        <w:trPr>
          <w:cantSplit w:val="1"/>
        </w:trPr>
        <w:tc>
          <w:tcPr>
            <w:vAlign w:val="top"/>
          </w:tcPr>
          <w:p>
            <w:pPr>
              <w:keepLines w:val="1"/>
            </w:pPr>
            <w:r>
              <w:t>RF-041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Calendario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Permitir al usuario agregar una cita propia confirmada a Google Calendar mediante autorización explícita, manteniendo a CitaJusta/PostgreSQL como fuente de verdad.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Media</w:t>
            </w:r>
          </w:p>
        </w:tc>
        <w:tc>
          <w:tcPr>
            <w:vAlign w:val="top"/>
          </w:tcPr>
          <w:p>
            <w:pPr>
              <w:keepLines w:val="1"/>
            </w:pPr>
            <w:r>
              <w:t>Objetivo</w:t>
            </w:r>
          </w:p>
        </w:tc>
      </w:tr>
      <w:tr>
        <w:trPr>
          <w:cantSplit w:val="1"/>
        </w:trPr>
        <w:tc>
          <w:tcPr>
            <w:tcW w:type="dxa" w:w="2033"/>
          </w:tcPr>
          <w:p>
            <w:pPr>
              <w:keepLines w:val="1"/>
            </w:pPr>
            <w:r>
              <w:t>RF-042</w:t>
            </w:r>
          </w:p>
        </w:tc>
        <w:tc>
          <w:tcPr>
            <w:tcW w:type="dxa" w:w="2033"/>
          </w:tcPr>
          <w:p>
            <w:pPr>
              <w:keepLines w:val="1"/>
            </w:pPr>
            <w:r>
              <w:t>Ubicación</w:t>
            </w:r>
          </w:p>
        </w:tc>
        <w:tc>
          <w:tcPr>
            <w:tcW w:type="dxa" w:w="2033"/>
          </w:tcPr>
          <w:p>
            <w:pPr>
              <w:keepLines w:val="1"/>
            </w:pPr>
            <w:r>
              <w:t>Permitir visualizar la ubicación de la sede con OpenStreetMap y acceder a indicaciones por enlaces de Google Maps con datos institucionales existentes; sin requerir APIs de Google Maps Platform.</w:t>
            </w:r>
          </w:p>
        </w:tc>
        <w:tc>
          <w:tcPr>
            <w:tcW w:type="dxa" w:w="2033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2033"/>
          </w:tcPr>
          <w:p>
            <w:pPr>
              <w:keepLines w:val="1"/>
            </w:pPr>
            <w:r>
              <w:t>Objetivo</w:t>
            </w:r>
          </w:p>
        </w:tc>
      </w:tr>
      <w:tr>
        <w:trPr>
          <w:cantSplit w:val="1"/>
        </w:trPr>
        <w:tc>
          <w:tcPr>
            <w:tcW w:type="dxa" w:w="2033"/>
          </w:tcPr>
          <w:p>
            <w:pPr>
              <w:keepLines w:val="1"/>
            </w:pPr>
            <w:r>
              <w:t>RF-043</w:t>
            </w:r>
          </w:p>
        </w:tc>
        <w:tc>
          <w:tcPr>
            <w:tcW w:type="dxa" w:w="2033"/>
          </w:tcPr>
          <w:p>
            <w:pPr>
              <w:keepLines w:val="1"/>
            </w:pPr>
            <w:r>
              <w:t>Notificaciones externas — excluida</w:t>
            </w:r>
          </w:p>
        </w:tc>
        <w:tc>
          <w:tcPr>
            <w:tcW w:type="dxa" w:w="2033"/>
          </w:tcPr>
          <w:p>
            <w:pPr>
              <w:keepLines w:val="1"/>
            </w:pPr>
            <w:r>
              <w:t>REQUISITO RETIRADO del entregable desde 15-10-2026. La integración WhatsApp Cloud API fue descartada; se conserva el código RF-043 para trazabilidad, no como capacidad operativa.</w:t>
            </w:r>
          </w:p>
        </w:tc>
        <w:tc>
          <w:tcPr>
            <w:tcW w:type="dxa" w:w="2033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2033"/>
          </w:tcPr>
          <w:p>
            <w:pPr>
              <w:keepLines w:val="1"/>
            </w:pPr>
            <w:r>
              <w:t>FUERA DE ALCANCE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>Resend (RF-039), Google OAuth/OIDC (RF-040), Google Calendar (RF-041) y visualización de sedes mediante OpenStreetMap/enlaces Google Maps (RF-042) complementan el dominio vigente. CitaJusta/PostgreSQL sigue siendo fuente de verdad. RF-043/WhatsApp quedó fuera del alcance entregable desde el 15-10-2026; conservar su identificador únicamente por trazabilidad del cambio.</w:t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>11. Requisitos funcionales del MVP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 MVP debe demostrar de extremo a extremo el flujo principal de CitaJusta. Como mínimo debe permitir: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Configurar una institución, sede, servicio, profesional y disponibilidad.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Buscar y reservar una cita disponible.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Ingresar a lista de espera cuando no exista una cita adecuada.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Cancelar una cita y detectar el cupo liberado.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Evaluar candidatos y generar una oferta temporal.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Aceptar, rechazar o expirar una oferta.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Reasignar el cupo sin producir doble asignación.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Registrar notificación y trazabilidad del proceso.</w:t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>12. Trazabilidad con Scrum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>La relación RF → HU → PR → prueba/evidencia se conserva. HU-039–HU-042 tienen Issues cerradas y PR fusionadas; HU-043 está retirada aunque su Issue #165 figura como CLOSED COMPLETED, estado administrativo que no acredita implementación. La mejora visual del correo Resend V2 aún no está publicada ni validada visualmente en Gmail.</w:t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>13. Conclusión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>Los requisitos vigentes mantienen el flujo de citas, lista de espera y reasignación segura con autorización y trazabilidad. RF-039–RF-042 suman comunicación y apoyo externo sin reemplazar la fuente de verdad; RF-043 permanece documentado como exclusión de alcance, no como función pendiente de entrega.</w:t>
      </w:r>
    </w:p>
    <w:p/>
    <w:p>
      <w:r>
        <w:rPr>
          <w:b/>
        </w:rPr>
        <w:t>Actualización documental — 16 de octubre de 2026</w:t>
      </w:r>
    </w:p>
    <w:p>
      <w:r>
        <w:t>HU-043/RF-043 (WhatsApp Cloud API) fue excluida del alcance entregable el 15-10-2026 por restricciones empresariales del proveedor Meta en el contexto académico. La integración experimental se retiró del código; la PR documental #169 fue fusionada a main. La Issue #165 figura cerrada como COMPLETED, pero ese motivo de cierre no acredita implementación. No existe canal WhatsApp activo en la entrega. El cambio queda trazado en Scrum y decisiones técnicas; no se reescribe el historial del Sprint originalmente planificado.</w:t>
      </w:r>
    </w:p>
    <w:sectPr>
      <w:headerReference r:id="rId8" w:type="default"/>
      <w:footerReference r:id="rId9" w:type="default"/>
      <w:pgSz w:h="15840" w:w="12240" w:orient="portrait"/>
      <w:pgMar w:bottom="936" w:top="1080" w:left="1037" w:right="1037" w:header="216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CitaJusta - Proyecto de Título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·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inline distB="0" distT="0" distL="114300" distR="114300">
          <wp:extent cx="2057400" cy="460571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57400" cy="4605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b2f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b2f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0" w:line="240" w:lineRule="auto"/>
    </w:pPr>
    <w:rPr>
      <w:rFonts w:ascii="Arial" w:cs="Arial" w:eastAsia="Arial" w:hAnsi="Arial"/>
      <w:b w:val="1"/>
      <w:bCs w:val="1"/>
      <w:color w:val="000000"/>
      <w:sz w:val="60"/>
      <w:szCs w:val="6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PFbPCr8CSVSzKs74VF7inOr1Rw==">CgMxLjA4AHIhMWxLdlZLaDRrMG1zQ2ZMQmROMTNBb1lQMFFCUmJDYU00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