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CITAJUSTA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Revisión Daily Meeting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Reunión inicial · Épica · Product Backlog · Sprint · Burndown · Release · Avance · Pendientes ·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743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48"/>
        <w:gridCol w:w="6912"/>
        <w:tblGridChange w:id="0">
          <w:tblGrid>
            <w:gridCol w:w="2448"/>
            <w:gridCol w:w="6912"/>
          </w:tblGrid>
        </w:tblGridChange>
      </w:tblGrid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de Título –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Duoc UC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1.5</w:t>
            </w:r>
          </w:p>
        </w:tc>
      </w:tr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Actualizado con cierre técnico y validación integral de HU-022</w:t>
            </w:r>
          </w:p>
        </w:tc>
      </w:tr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20 de septiembre de 2026</w:t>
            </w:r>
          </w:p>
        </w:tc>
      </w:tr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Matías Andrés Torres · Bastian Sepúlveda · Diego Simon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8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dt>
      <w:sdtPr>
        <w:id w:val="-10453215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Épica / objetivo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f2ya2nygr8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Product Backlog referencia actual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9f6f8u0s4w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/ avance acumulado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69a7mvqkn0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¿Qué se ha realizado?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dtewbq2v2w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Pendientes inmediatos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zmk51akr2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Burndown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08mk4m6o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Release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wn2wdyudab8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Kanban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4ki5ryu94g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Riesgos / bloqueos actuales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gclbba6p1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Evidencias asociadas a esta revisión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qnv9pdl60v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Conclusión de la revisión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Épica / objetivo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sdt>
        <w:sdtPr>
          <w:id w:val="4656781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ÉPICA PRINCIPAL: Gestión inteligente de citas y recuperación de cupos liberados. CitaJusta busca gestionar usuarios, instituciones, servicios, profesionales, disponibilidad y citas, permitiendo que los cupos liberados por cancelaciones puedan ser ofrecidos de forma controlada a usuarios compatibles de una lista de espera. Esta épica concentra el flujo principal del proyecto: seguridad → agenda → reserva → cancelación → lista de espera → oferta → reasignación → trazabilidad.</w:t>
          </w:r>
        </w:sdtContent>
      </w:sdt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9f2ya2nygr8z" w:id="0"/>
      <w:bookmarkEnd w:id="0"/>
      <w:r w:rsidDel="00000000" w:rsidR="00000000" w:rsidRPr="00000000">
        <w:rPr>
          <w:rtl w:val="0"/>
        </w:rPr>
        <w:t xml:space="preserve">2. Product Backlog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actual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HU-001/002</w:t>
            </w:r>
          </w:p>
        </w:tc>
        <w:tc>
          <w:tcPr>
            <w:vAlign w:val="center"/>
          </w:tcPr>
          <w:p>
            <w:r>
              <w:t>Registro, login, sesiones y acceso seguro</w:t>
            </w:r>
          </w:p>
        </w:tc>
        <w:tc>
          <w:tcPr>
            <w:vAlign w:val="center"/>
          </w:tcPr>
          <w:p>
            <w:r>
              <w:t>Alta/Crítica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HU-003</w:t>
            </w:r>
          </w:p>
        </w:tc>
        <w:tc>
          <w:tcPr>
            <w:vAlign w:val="center"/>
          </w:tcPr>
          <w:p>
            <w:r>
              <w:t>Buscar citas por servicio, sede y disponibilidad</w:t>
            </w:r>
          </w:p>
        </w:tc>
        <w:tc>
          <w:tcPr>
            <w:vAlign w:val="center"/>
          </w:tcPr>
          <w:p>
            <w:r>
              <w:t>Crítica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HU-012/013</w:t>
            </w:r>
          </w:p>
        </w:tc>
        <w:tc>
          <w:tcPr>
            <w:vAlign w:val="center"/>
          </w:tcPr>
          <w:p>
            <w:r>
              <w:t>Instituciones, sedes, servicios y profesionales</w:t>
            </w:r>
          </w:p>
        </w:tc>
        <w:tc>
          <w:tcPr>
            <w:vAlign w:val="center"/>
          </w:tcPr>
          <w:p>
            <w:r>
              <w:t>Alta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HU-014/015</w:t>
            </w:r>
          </w:p>
        </w:tc>
        <w:tc>
          <w:tcPr>
            <w:vAlign w:val="center"/>
          </w:tcPr>
          <w:p>
            <w:r>
              <w:t>Disponibilidad, cupos y agenda institucional</w:t>
            </w:r>
          </w:p>
        </w:tc>
        <w:tc>
          <w:tcPr>
            <w:vAlign w:val="center"/>
          </w:tcPr>
          <w:p>
            <w:r>
              <w:t>Crítica/Alta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HU-004</w:t>
            </w:r>
          </w:p>
        </w:tc>
        <w:tc>
          <w:tcPr>
            <w:vAlign w:val="center"/>
          </w:tcPr>
          <w:p>
            <w:r>
              <w:t>Reservar una cita</w:t>
            </w:r>
          </w:p>
        </w:tc>
        <w:tc>
          <w:tcPr>
            <w:vAlign w:val="center"/>
          </w:tcPr>
          <w:p>
            <w:r>
              <w:t>Crítica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HU-005/006</w:t>
            </w:r>
          </w:p>
        </w:tc>
        <w:tc>
          <w:tcPr>
            <w:vAlign w:val="center"/>
          </w:tcPr>
          <w:p>
            <w:r>
              <w:t>Consulta y cancelación de citas</w:t>
            </w:r>
          </w:p>
        </w:tc>
        <w:tc>
          <w:tcPr>
            <w:vAlign w:val="center"/>
          </w:tcPr>
          <w:p>
            <w:r>
              <w:t>Alta/Crítica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HU-007/008/021</w:t>
            </w:r>
          </w:p>
        </w:tc>
        <w:tc>
          <w:tcPr>
            <w:vAlign w:val="center"/>
          </w:tcPr>
          <w:p>
            <w:r>
              <w:t>Lista de espera, preferencias e integración Web</w:t>
            </w:r>
          </w:p>
        </w:tc>
        <w:tc>
          <w:tcPr>
            <w:vAlign w:val="center"/>
          </w:tcPr>
          <w:p>
            <w:r>
              <w:t>Crítica/Alta</w:t>
            </w:r>
          </w:p>
        </w:tc>
        <w:tc>
          <w:tcPr>
            <w:vAlign w:val="center"/>
          </w:tcPr>
          <w:p>
            <w:r>
              <w:t>Done</w:t>
            </w:r>
          </w:p>
        </w:tc>
      </w:tr>
      <w:tr>
        <w:trPr>
          <w:cantSplit w:val="0"/>
          <w:tblHeader w:val="0"/>
        </w:trPr>
        <w:tc>
          <w:tcPr/>
          <w:p>
            <w:r>
              <w:t>HU-009/010/011/016/018/022</w:t>
            </w:r>
          </w:p>
        </w:tc>
        <w:tc>
          <w:tcPr/>
          <w:p>
            <w:r>
              <w:t>Ofertas, reasignación, políticas e integración Web</w:t>
            </w:r>
          </w:p>
        </w:tc>
        <w:tc>
          <w:tcPr/>
          <w:p>
            <w:r>
              <w:t>Crítica</w:t>
            </w:r>
          </w:p>
        </w:tc>
        <w:tc>
          <w:tcPr/>
          <w:p>
            <w:r>
              <w:t>Done técnico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79f6f8u0s4wx" w:id="1"/>
      <w:bookmarkEnd w:id="1"/>
      <w:r w:rsidDel="00000000" w:rsidR="00000000" w:rsidRPr="00000000">
        <w:rPr>
          <w:rtl w:val="0"/>
        </w:rPr>
        <w:t xml:space="preserve">3. Sprint / avance acumulado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>
        <w:t>Sprint 4: Agenda Base permanece cerrado con 8/8 tareas completadas y evidencia técnica validada. Sprint 5: Citas y Lista de Espera quedó cerrado con sus tareas funcionales y de integración completadas. Sprint 6: Reasignación y Ofertas alcanzó cierre técnico con 8/8 tareas completadas. El backend de HU-009, HU-010, HU-011, HU-016 y HU-018 está implementado; HU-021 fue completada y mergeada mediante PR #89, y HU-022 quedó implementada y validada en la rama feat/web-reassignment-offers, pendiente de commit/PR/merge al momento del corte.</w:t>
      </w:r>
    </w:p>
    <w:tbl>
      <w:tblPr>
        <w:tblStyle w:val="Table3"/>
        <w:tblW w:w="1022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36a997" w:val="clear"/>
            <w:vAlign w:val="center"/>
          </w:tcPr>
          <w:p>
            <w:r>
              <w:t>Tareas Sprint 6</w:t>
            </w:r>
          </w:p>
        </w:tc>
        <w:tc>
          <w:tcPr>
            <w:shd w:fill="36a997" w:val="clear"/>
            <w:vAlign w:val="center"/>
          </w:tcPr>
          <w:p>
            <w:r>
              <w:t>Done</w:t>
            </w:r>
          </w:p>
        </w:tc>
        <w:tc>
          <w:tcPr>
            <w:shd w:fill="36a997" w:val="clear"/>
            <w:vAlign w:val="center"/>
          </w:tcPr>
          <w:p>
            <w:r>
              <w:t>En progreso / Pendiente</w:t>
            </w:r>
          </w:p>
        </w:tc>
        <w:tc>
          <w:tcPr>
            <w:shd w:fill="36a997" w:val="clear"/>
            <w:vAlign w:val="center"/>
          </w:tcPr>
          <w:p>
            <w:r>
              <w:t>Pruebas actuales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0 / 0</w:t>
            </w:r>
          </w:p>
        </w:tc>
        <w:tc>
          <w:tcPr>
            <w:vAlign w:val="center"/>
          </w:tcPr>
          <w:p>
            <w:r>
              <w:t>71/71 web · 20/20 E2E reasignación · 10/10 tooling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p69a7mvqkn0m" w:id="2"/>
      <w:bookmarkEnd w:id="2"/>
      <w:r w:rsidDel="00000000" w:rsidR="00000000" w:rsidRPr="00000000">
        <w:rPr>
          <w:rtl w:val="0"/>
        </w:rPr>
        <w:t xml:space="preserve">4. ¿Qué se ha realizado?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Backend HU-001 a HU-020 implementado, con autenticación, RBAC, contexto institucional, agenda, citas, lista de espera, reasignación, políticas, operación, reportes y auditoría.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apps/web consume la API real para autenticación, catálogos, disponibilidad, reserva, confirmación, Mis citas, cancelación, lista de espera/preferencias y ofertas de reasignación.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HU-021 – Gestión Web de lista de espera y preferencias completada: alta, consulta, persistencia de preferencias y retiro validados contra Web + API + PostgreSQL.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El entorno local fue estabilizado con seed:dev idempotente, check:dev de sólo lectura, provisión de catálogos requeridos y validación fail-fast del proxy de Vite.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Validación actual de HU-022: 71/71 pruebas Web, 10/10 pruebas enfocadas de recipient-offers/reassignment-demo y 20/20 E2E reales de reasignación; build API, build Web + TypeScript, Prisma validate, check:dev y git diff --check correctos.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PR #89 mergeado a main (merge c291d17) con HU-021 y estabilización del entorno local; ramas locales/remotas antiguas ya integradas fueron limpiadas.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t>HU-022 – Gestión Web de ofertas de reasignación completada técnicamente: nuevo GET /api/v1/reassignments/offers/me, ruta /ofertas, expiresAt real, aceptación, rechazo y estados finales. La prueba manual validó oferta vencida sin mutación, ACCEPT con cita AGENDADA transferida y REJECT sin creación de cita para el destinatario.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40" w:line="276" w:lineRule="auto"/>
        <w:rPr/>
      </w:pPr>
      <w:bookmarkStart w:colFirst="0" w:colLast="0" w:name="_heading=h.rdtewbq2v2wa" w:id="3"/>
      <w:bookmarkEnd w:id="3"/>
      <w:r w:rsidDel="00000000" w:rsidR="00000000" w:rsidRPr="00000000">
        <w:rPr>
          <w:rtl w:val="0"/>
        </w:rPr>
        <w:t xml:space="preserve">5. Pendientes inmediatos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Cerrar administrativamente HU-022: commit, push, Pull Request, merge a main y actualización final del estado visual en GitHub Projects.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Mantener como evidencia de HU-022 los resultados automáticos y la validación manual Web + API + PostgreSQL de expiración, aceptación y rechazo.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Continuar con las interfaces institucionales pendientes: agenda operativa, asistencia, administración, reportes y auditoría.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Mantener sincronizados Product Backlog, Sprint Backlog, Release Plan, Kanban y evidencias Daily con el estado verificable de GitHub.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Implementar la aplicación de escritorio Tauri cuando el flujo institucional Web esté suficientemente consolidado.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t>Mantener como deuda técnica separada la advertencia de pg sobre consultas simultáneas y completar posteriormente Docker/Docker Compose y pruebas de seguridad/rendimiento.</w:t>
      </w:r>
    </w:p>
    <w:p w:rsidR="00000000" w:rsidDel="00000000" w:rsidP="00000000" w:rsidRDefault="00000000" w:rsidRPr="00000000" w14:paraId="00000082">
      <w:pPr>
        <w:pStyle w:val="Heading1"/>
        <w:spacing w:after="40" w:line="276" w:lineRule="auto"/>
        <w:rPr/>
      </w:pPr>
      <w:bookmarkStart w:colFirst="0" w:colLast="0" w:name="_heading=h.kzmk51akr2ec" w:id="4"/>
      <w:bookmarkEnd w:id="4"/>
      <w:r w:rsidDel="00000000" w:rsidR="00000000" w:rsidRPr="00000000">
        <w:rPr>
          <w:rtl w:val="0"/>
        </w:rPr>
        <w:t xml:space="preserve">6. Burndown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>
        <w:t>Estado: evidencia histórica cerrada del Sprint 4. El Burndown Sprint 4 conserva su reconstrucción basada en hitos reales de GitHub y Pull Requests, con 30 h estimadas al inicio y 0 h restantes tras el checkpoint E2E real. No se modifica porque corresponde a un Sprint ya cerrado.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b08mk4m6o44" w:id="5"/>
      <w:bookmarkEnd w:id="5"/>
      <w:r w:rsidDel="00000000" w:rsidR="00000000" w:rsidRPr="00000000">
        <w:rPr>
          <w:rtl w:val="0"/>
        </w:rPr>
        <w:t xml:space="preserve">7. Release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>
        <w:t>El Release Plan mantiene 8 Sprints hasta R1.0. Sprint 5 está cerrado y Sprint 6 alcanzó cierre técnico: el motor de reasignación backend y la experiencia Web de ofertas fueron implementados y validados. Al momento del corte sólo resta integrar la rama de HU-022 a main; el siguiente foco funcional corresponde a interfaces institucionales, seguido de Tauri/Docker y cierre académico.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wn2wdyudab8q" w:id="6"/>
      <w:bookmarkEnd w:id="6"/>
      <w:r w:rsidDel="00000000" w:rsidR="00000000" w:rsidRPr="00000000">
        <w:rPr>
          <w:rtl w:val="0"/>
        </w:rPr>
        <w:t xml:space="preserve">8. Kanban</w:t>
      </w:r>
    </w:p>
    <w:p w:rsidR="00000000" w:rsidDel="00000000" w:rsidP="00000000" w:rsidRDefault="00000000" w:rsidRPr="00000000" w14:paraId="0000008B">
      <w:pPr>
        <w:rPr/>
      </w:pPr>
      <w:r>
        <w:t>Estado: tablero real disponible en GitHub Projects con columnas Backlog, Ready, In Progress, Review, Testing y Done. HU-021 está cerrada como Done. HU-022 ya cumple los criterios técnicos y de validación manual, pero la actualización visual del tablero a Done debe realizarse después del commit/PR/merge de feat/web-reassignment-offers para mantener trazabilidad verificable.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>
        <w:t>Figura / evidencia asociada: tablero Kanban real de CitaJusta en GitHub Projects. Ver 14_Evidencia_Kanban_CitaJusta.docx.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heading=h.74ki5ryu94gk" w:id="7"/>
      <w:bookmarkEnd w:id="7"/>
      <w:r w:rsidDel="00000000" w:rsidR="00000000" w:rsidRPr="00000000">
        <w:rPr>
          <w:rtl w:val="0"/>
        </w:rPr>
        <w:t xml:space="preserve">9. Riesgos / bloqueos actuales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No existe actualmente un bloqueo técnico activo en persistencia, Prisma, Waitlist u ofertas de reasignación. HU-022 quedó validada de punta a punta y sólo resta su integración administrativa a main.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La siguiente prioridad funcional pasa a las interfaces institucionales. La selección de profesional específico en preferencias de espera continúa fuera del contrato backend disponible y no debe simularse en la interfaz.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La aplicación institucional completa, Tauri y Docker/Docker Compose continúan pendientes como entregables técnicos posteriores.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>
        <w:t>Se mantiene como deuda técnica de baja prioridad la advertencia de pg detectada en pruebas concurrentes; no afecta los resultados actuales.</w:t>
      </w:r>
    </w:p>
    <w:p w:rsidR="00000000" w:rsidDel="00000000" w:rsidP="00000000" w:rsidRDefault="00000000" w:rsidRPr="00000000" w14:paraId="00000095">
      <w:pPr>
        <w:pStyle w:val="Heading1"/>
        <w:spacing w:after="40" w:line="276" w:lineRule="auto"/>
        <w:rPr/>
      </w:pPr>
      <w:bookmarkStart w:colFirst="0" w:colLast="0" w:name="_heading=h.gclbba6p1z" w:id="8"/>
      <w:bookmarkEnd w:id="8"/>
      <w:r w:rsidDel="00000000" w:rsidR="00000000" w:rsidRPr="00000000">
        <w:rPr>
          <w:rtl w:val="0"/>
        </w:rPr>
        <w:t xml:space="preserve">10. Evidencias asociadas a esta revisión</w:t>
      </w:r>
    </w:p>
    <w:tbl>
      <w:tblPr>
        <w:tblStyle w:val="Table4"/>
        <w:tblW w:w="1022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a997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Documento /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Product Backlog</w:t>
            </w:r>
          </w:p>
        </w:tc>
        <w:tc>
          <w:tcPr>
            <w:vAlign w:val="center"/>
          </w:tcPr>
          <w:p>
            <w:r>
              <w:t>Actualizado</w:t>
            </w:r>
          </w:p>
        </w:tc>
        <w:tc>
          <w:tcPr>
            <w:vAlign w:val="center"/>
          </w:tcPr>
          <w:p>
            <w:r>
              <w:t>06_Product_Backlog_CitaJusta.xlsx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Sprint Backlog</w:t>
            </w:r>
          </w:p>
        </w:tc>
        <w:tc>
          <w:tcPr>
            <w:vAlign w:val="center"/>
          </w:tcPr>
          <w:p>
            <w:r>
              <w:t>Actualizado</w:t>
            </w:r>
          </w:p>
        </w:tc>
        <w:tc>
          <w:tcPr>
            <w:vAlign w:val="center"/>
          </w:tcPr>
          <w:p>
            <w:r>
              <w:t>07_Sprint_Backlog_CitaJusta.xlsx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Release Plan</w:t>
            </w:r>
          </w:p>
        </w:tc>
        <w:tc>
          <w:tcPr>
            <w:vAlign w:val="center"/>
          </w:tcPr>
          <w:p>
            <w:r>
              <w:t>Actualizado</w:t>
            </w:r>
          </w:p>
        </w:tc>
        <w:tc>
          <w:tcPr>
            <w:vAlign w:val="center"/>
          </w:tcPr>
          <w:p>
            <w:r>
              <w:t>13_Release_Plan_CitaJusta.xlsx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Burndown</w:t>
            </w:r>
          </w:p>
        </w:tc>
        <w:tc>
          <w:tcPr>
            <w:vAlign w:val="center"/>
          </w:tcPr>
          <w:p>
            <w:r>
              <w:t>Histórico / sin cambios</w:t>
            </w:r>
          </w:p>
        </w:tc>
        <w:tc>
          <w:tcPr>
            <w:vAlign w:val="center"/>
          </w:tcPr>
          <w:p>
            <w:r>
              <w:t>08_Burndown_Sprint_4_CitaJusta.xlsx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Kanban</w:t>
            </w:r>
          </w:p>
        </w:tc>
        <w:tc>
          <w:tcPr>
            <w:vAlign w:val="center"/>
          </w:tcPr>
          <w:p>
            <w:r>
              <w:t>Actualizado</w:t>
            </w:r>
          </w:p>
        </w:tc>
        <w:tc>
          <w:tcPr>
            <w:vAlign w:val="center"/>
          </w:tcPr>
          <w:p>
            <w:r>
              <w:t>14_Evidencia_Kanban_CitaJusta.docx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7qnv9pdl60vd" w:id="9"/>
      <w:bookmarkEnd w:id="9"/>
      <w:r w:rsidDel="00000000" w:rsidR="00000000" w:rsidRPr="00000000">
        <w:rPr>
          <w:rtl w:val="0"/>
        </w:rPr>
        <w:t xml:space="preserve">11. Conclusión de la revisión</w:t>
      </w:r>
    </w:p>
    <w:p w:rsidR="00000000" w:rsidDel="00000000" w:rsidP="00000000" w:rsidRDefault="00000000" w:rsidRPr="00000000" w14:paraId="000000A9">
      <w:pPr>
        <w:rPr/>
      </w:pPr>
      <w:r>
        <w:t>La revisión actual evidencia que CitaJusta cuenta con backend HU-001 a HU-020 implementado y flujos Web validados para autenticación, búsqueda, reserva, consulta/cancelación de citas, lista de espera/preferencias y ofertas de reasignación. HU-021 fue completada y mergeada mediante PR #89; HU-022 quedó completada técnicamente con 71/71 pruebas Web, 20/20 E2E reales de reasignación, tooling de desarrollo y validación manual de expiración, aceptación y rechazo. Al momento del corte resta commit/PR/merge de la rama feat/web-reassignment-offers y la actualización final del Kanban.</w:t>
      </w:r>
    </w:p>
    <w:sectPr>
      <w:headerReference r:id="rId8" w:type="default"/>
      <w:headerReference r:id="rId9" w:type="first"/>
      <w:pgSz w:h="15840" w:w="12240" w:orient="portrait"/>
      <w:pgMar w:bottom="792" w:top="792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2601414" cy="576263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1414" cy="5762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114300" distR="114300">
          <wp:extent cx="3017520" cy="675504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17520" cy="6755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jg9RgGz5hTPhyPcrP1dHEogwg==">CgMxLjAaHQoBMBIYChYIB0ISEhBBcmlhbCBVbmljb2RlIE1TMg5oLjlmMnlhMm55Z3I4ejIOaC43OWY2Zjh1MHM0d3gyDmgucDY5YTdtdnFrbjBtMg5oLnJkdGV3YnEydjJ3YTIOaC5rem1rNTFha3IyZWMyDWguYjA4bWs0bTZvNDQyDmgud24yd2R5dWRhYjhxMg5oLjc0a2k1cnl1OTRnazIMaC5nY2xiYmE2cDF6Mg5oLjdxbnY5cGRsNjB2ZDgAciExdHZPXy1rOFRrNHVSOWdzM3pSM1NYaTdma05heV9Xc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