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B6573"/>
          <w:sz w:val="22"/>
        </w:rPr>
        <w:t>CITAJUSTA</w:t>
      </w:r>
    </w:p>
    <w:p>
      <w:pPr>
        <w:pStyle w:val="Title"/>
        <w:spacing w:after="80"/>
      </w:pPr>
      <w:r>
        <w:t>Arquitectura de APIs</w:t>
      </w:r>
    </w:p>
    <w:p>
      <w:r>
        <w:rPr>
          <w:b/>
        </w:rPr>
        <w:t>Proyecto de Título · Ingeniería en Informática</w:t>
      </w:r>
    </w:p>
    <w:p>
      <w:pPr>
        <w:spacing w:after="20"/>
      </w:pPr>
      <w:r>
        <w:rPr>
          <w:b/>
        </w:rPr>
        <w:t xml:space="preserve">Sede: </w:t>
      </w:r>
      <w:r>
        <w:t>Duoc UC Puente Alto</w:t>
      </w:r>
    </w:p>
    <w:p>
      <w:pPr>
        <w:spacing w:after="20"/>
      </w:pPr>
      <w:r>
        <w:rPr>
          <w:b/>
        </w:rPr>
        <w:t xml:space="preserve">Versión: </w:t>
      </w:r>
      <w:r>
        <w:t>0.2</w:t>
      </w:r>
    </w:p>
    <w:p>
      <w:pPr>
        <w:spacing w:after="20"/>
      </w:pPr>
      <w:r>
        <w:rPr>
          <w:b/>
        </w:rPr>
        <w:t xml:space="preserve">Estado: </w:t>
      </w:r>
      <w:r>
        <w:t>Actualización arquitectónica</w:t>
      </w:r>
    </w:p>
    <w:p>
      <w:pPr>
        <w:spacing w:after="20"/>
      </w:pPr>
      <w:r>
        <w:rPr>
          <w:b/>
        </w:rPr>
        <w:t xml:space="preserve">Fecha: </w:t>
      </w:r>
      <w:r>
        <w:t>04 de octubre de 2026</w:t>
      </w:r>
    </w:p>
    <w:p>
      <w:pPr>
        <w:spacing w:before="4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Integrantes</w:t>
      </w:r>
    </w:p>
    <w:p>
      <w:pPr>
        <w:spacing w:after="20"/>
        <w:ind w:left="259"/>
      </w:pPr>
      <w:r>
        <w:t>• Matías Andrés Torres</w:t>
      </w:r>
    </w:p>
    <w:p>
      <w:pPr>
        <w:spacing w:after="20"/>
        <w:ind w:left="259"/>
      </w:pPr>
      <w:r>
        <w:t>• Bastian Sepúlveda</w:t>
      </w:r>
    </w:p>
    <w:p>
      <w:pPr>
        <w:spacing w:after="20"/>
        <w:ind w:left="259"/>
      </w:pPr>
      <w:r>
        <w:t>• Diego Simon</w:t>
      </w:r>
    </w:p>
    <w:p>
      <w:r>
        <w:rPr>
          <w:b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25-08-2026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Equipo CitaJusta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Creación inicial del documento.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04-10-2026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Equipo CitaJusta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Actualización al estado real del repositorio e incorporación del plan de integraciones externas HU-039 a HU-043.</w:t>
            </w:r>
          </w:p>
        </w:tc>
      </w:tr>
    </w:tbl>
    <w:p>
      <w:r>
        <w:br w:type="page"/>
      </w:r>
    </w:p>
    <w:p>
      <w:pPr>
        <w:pStyle w:val="Heading1"/>
      </w:pPr>
      <w:r>
        <w:t>1. Propósito y alcance</w:t>
      </w:r>
    </w:p>
    <w:p>
      <w:r>
        <w:t>Esta versión 0.2 actualiza la arquitectura de las APIs de CitaJusta al estado real del repositorio en main al 04-10-2026 y formaliza las integraciones externas planificadas para Sprint 8. La API propia continúa siendo la frontera principal entre los clientes y el dominio; las integraciones con terceros no sustituyen la lógica, autorización ni persistencia de CitaJusta.</w:t>
      </w:r>
    </w:p>
    <w:p>
      <w:pPr>
        <w:ind w:left="259" w:hanging="173"/>
      </w:pPr>
      <w:r>
        <w:rPr>
          <w:b/>
        </w:rPr>
        <w:t xml:space="preserve">• </w:t>
      </w:r>
      <w:r>
        <w:t>API REST versionada bajo /api/v1 para contratos funcionales; GET /health permanece como excepción técnica sin prefijo.</w:t>
      </w:r>
    </w:p>
    <w:p>
      <w:pPr>
        <w:ind w:left="259" w:hanging="173"/>
      </w:pPr>
      <w:r>
        <w:rPr>
          <w:b/>
        </w:rPr>
        <w:t xml:space="preserve">• </w:t>
      </w:r>
      <w:r>
        <w:t>Web y Desktop consumen la misma API y no acceden directamente a PostgreSQL ni a Prisma.</w:t>
      </w:r>
    </w:p>
    <w:p>
      <w:pPr>
        <w:ind w:left="259" w:hanging="173"/>
      </w:pPr>
      <w:r>
        <w:rPr>
          <w:b/>
        </w:rPr>
        <w:t xml:space="preserve">• </w:t>
      </w:r>
      <w:r>
        <w:t>PostgreSQL/CitaJusta permanece como fuente de verdad para usuarios, citas, agenda, sedes, reasignaciones, reportes y auditoría.</w:t>
      </w:r>
    </w:p>
    <w:p>
      <w:pPr>
        <w:ind w:left="259" w:hanging="173"/>
      </w:pPr>
      <w:r>
        <w:rPr>
          <w:b/>
        </w:rPr>
        <w:t xml:space="preserve">• </w:t>
      </w:r>
      <w:r>
        <w:t>Los proveedores externos se integran mediante contratos controlados y no reciben autoridad sobre reglas de negocio internas.</w:t>
      </w:r>
    </w:p>
    <w:p>
      <w:pPr>
        <w:ind w:left="259" w:hanging="173"/>
      </w:pPr>
      <w:r>
        <w:rPr>
          <w:b/>
        </w:rPr>
        <w:t xml:space="preserve">• </w:t>
      </w:r>
      <w:r>
        <w:t>OpenAPI/Swagger forma parte del cierre técnico planificado para Sprint 9; hasta entonces, backend, tests y README son evidencia operativa de los contratos implementados.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2D4D"/>
                <w:sz w:val="18"/>
              </w:rPr>
              <w:t>Estado de alcance: HU-001 a HU-038 implementadas; HU-039 a HU-043 planificadas para Sprint 8. Las rutas y payloads exactos de integraciones externas se definirán durante cada HU y no se inventan en este documento.</w:t>
            </w:r>
          </w:p>
        </w:tc>
      </w:tr>
    </w:tbl>
    <w:p>
      <w:pPr>
        <w:spacing w:after="0"/>
      </w:pPr>
    </w:p>
    <w:p>
      <w:pPr>
        <w:pStyle w:val="Heading1"/>
      </w:pPr>
      <w:r>
        <w:t>2. Estado actual de la API propia</w:t>
      </w:r>
    </w:p>
    <w:p>
      <w:r>
        <w:t>El backend NestJS funciona como monolito modular. Valida entradas, deriva identidad y contexto institucional desde la sesión, aplica RBAC y concentra transacciones críticas. Los dominios actualmente presentes en el repositorio incluyen: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705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Responsabilidad actual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auth / users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Registro, login, refresh/logout, perfil autenticado y contexto de acceso.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institutions / services / professionals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Catálogos y administración institucional con aislamiento por tenant.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availability / agenda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Disponibilidad, bloqueos, cupos materializados y consulta de agenda institucional.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appointments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Reserva, consulta propia, cancelación y asistencia/inasistencia.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waitlist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Lista de espera, preferencias y retiro.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reassignments / reassignment-policy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Motor de reasignación, ofertas, continuidad, supervisión y políticas versionadas.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notifications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Notificaciones internas persistentes y lectura por usuario.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Indicadores institucionales read-only.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Bitácora read-only con filtros y paginación por cursor.</w:t>
            </w:r>
          </w:p>
        </w:tc>
      </w:tr>
    </w:tbl>
    <w:p>
      <w:pPr>
        <w:spacing w:after="0"/>
      </w:pPr>
    </w:p>
    <w:p>
      <w:pPr>
        <w:pStyle w:val="Heading1"/>
      </w:pPr>
      <w:r>
        <w:t>3. Principios de diseño de contratos</w:t>
      </w:r>
    </w:p>
    <w:p>
      <w:pPr>
        <w:ind w:left="259" w:hanging="173"/>
      </w:pPr>
      <w:r>
        <w:rPr>
          <w:b/>
        </w:rPr>
        <w:t xml:space="preserve">• </w:t>
      </w:r>
      <w:r>
        <w:t>DTOs explícitos y controlados: nunca devolver modelos Prisma completos ni secretos.</w:t>
      </w:r>
    </w:p>
    <w:p>
      <w:pPr>
        <w:ind w:left="259" w:hanging="173"/>
      </w:pPr>
      <w:r>
        <w:rPr>
          <w:b/>
        </w:rPr>
        <w:t xml:space="preserve">• </w:t>
      </w:r>
      <w:r>
        <w:t>Identidades institucionales, usuario y actor se derivan del contexto autenticado; no se aceptan como autoridad desde el body del cliente.</w:t>
      </w:r>
    </w:p>
    <w:p>
      <w:pPr>
        <w:ind w:left="259" w:hanging="173"/>
      </w:pPr>
      <w:r>
        <w:rPr>
          <w:b/>
        </w:rPr>
        <w:t xml:space="preserve">• </w:t>
      </w:r>
      <w:r>
        <w:t>Los endpoints aplican autorización y aislamiento multi-tenant en backend, incluso cuando la interfaz oculta acciones no permitidas.</w:t>
      </w:r>
    </w:p>
    <w:p>
      <w:pPr>
        <w:ind w:left="259" w:hanging="173"/>
      </w:pPr>
      <w:r>
        <w:rPr>
          <w:b/>
        </w:rPr>
        <w:t xml:space="preserve">• </w:t>
      </w:r>
      <w:r>
        <w:t>Los filtros y enumeraciones son allow-list; se rechazan parámetros desconocidos cuando el contrato lo define.</w:t>
      </w:r>
    </w:p>
    <w:p>
      <w:pPr>
        <w:ind w:left="259" w:hanging="173"/>
      </w:pPr>
      <w:r>
        <w:rPr>
          <w:b/>
        </w:rPr>
        <w:t xml:space="preserve">• </w:t>
      </w:r>
      <w:r>
        <w:t>Las operaciones críticas son atómicas y respetan las reglas de concurrencia del dominio; no se emplean locks en memoria como garantía de consistencia.</w:t>
      </w:r>
    </w:p>
    <w:p>
      <w:pPr>
        <w:ind w:left="259" w:hanging="173"/>
      </w:pPr>
      <w:r>
        <w:rPr>
          <w:b/>
        </w:rPr>
        <w:t xml:space="preserve">• </w:t>
      </w:r>
      <w:r>
        <w:t>Los errores se sanitizan y no exponen SQL, stack traces, secretos o detalles internos.</w:t>
      </w:r>
    </w:p>
    <w:p>
      <w:pPr>
        <w:pStyle w:val="Heading1"/>
      </w:pPr>
      <w:r>
        <w:t>4. Convenciones de rutas, tiempo y paginación</w:t>
      </w:r>
    </w:p>
    <w:p>
      <w:pPr>
        <w:ind w:left="259" w:hanging="173"/>
      </w:pPr>
      <w:r>
        <w:rPr>
          <w:b/>
        </w:rPr>
        <w:t xml:space="preserve">• </w:t>
      </w:r>
      <w:r>
        <w:t>Rutas funcionales versionadas bajo /api/v1; /health queda fuera del prefijo.</w:t>
      </w:r>
    </w:p>
    <w:p>
      <w:pPr>
        <w:ind w:left="259" w:hanging="173"/>
      </w:pPr>
      <w:r>
        <w:rPr>
          <w:b/>
        </w:rPr>
        <w:t xml:space="preserve">• </w:t>
      </w:r>
      <w:r>
        <w:t>Instantes se intercambian en ISO 8601 UTC cuando representan timestamps persistidos.</w:t>
      </w:r>
    </w:p>
    <w:p>
      <w:pPr>
        <w:ind w:left="259" w:hanging="173"/>
      </w:pPr>
      <w:r>
        <w:rPr>
          <w:b/>
        </w:rPr>
        <w:t xml:space="preserve">• </w:t>
      </w:r>
      <w:r>
        <w:t>Las fechas civiles institucionales se interpretan con la zona horaria IANA de la institución cuando el contrato lo requiere.</w:t>
      </w:r>
    </w:p>
    <w:p>
      <w:pPr>
        <w:ind w:left="259" w:hanging="173"/>
      </w:pPr>
      <w:r>
        <w:rPr>
          <w:b/>
        </w:rPr>
        <w:t xml:space="preserve">• </w:t>
      </w:r>
      <w:r>
        <w:t>La paginación no se fuerza a un esquema universal. Por ejemplo, Auditoría usa un cursor opaco page.nextCursor; no se inventan offset, total o número de página si el backend no los entrega.</w:t>
      </w:r>
    </w:p>
    <w:p>
      <w:pPr>
        <w:ind w:left="259" w:hanging="173"/>
      </w:pPr>
      <w:r>
        <w:rPr>
          <w:b/>
        </w:rPr>
        <w:t xml:space="preserve">• </w:t>
      </w:r>
      <w:r>
        <w:t>Los clientes deben conservar los filtros al solicitar la página siguiente y descartar respuestas stale cuando cambie la consulta.</w:t>
      </w:r>
    </w:p>
    <w:p>
      <w:pPr>
        <w:pStyle w:val="Heading1"/>
      </w:pPr>
      <w:r>
        <w:t>5. Seguridad, RBAC y multi-tenancy</w:t>
      </w:r>
    </w:p>
    <w:p>
      <w:r>
        <w:t>La API valida autenticación y autorización en backend. El contexto efectivo puede ser institucional o de sede según los grants del usuario. Un identificador enviado por el cliente no puede ampliar el ámbito autorizado.</w:t>
      </w:r>
    </w:p>
    <w:p>
      <w:pPr>
        <w:ind w:left="259" w:hanging="173"/>
      </w:pPr>
      <w:r>
        <w:rPr>
          <w:b/>
        </w:rPr>
        <w:t xml:space="preserve">• </w:t>
      </w:r>
      <w:r>
        <w:t>JWT de acceso y refresh token según el flujo existente.</w:t>
      </w:r>
    </w:p>
    <w:p>
      <w:pPr>
        <w:ind w:left="259" w:hanging="173"/>
      </w:pPr>
      <w:r>
        <w:rPr>
          <w:b/>
        </w:rPr>
        <w:t xml:space="preserve">• </w:t>
      </w:r>
      <w:r>
        <w:t>RBAC con permisos explícitos por capacidad.</w:t>
      </w:r>
    </w:p>
    <w:p>
      <w:pPr>
        <w:ind w:left="259" w:hanging="173"/>
      </w:pPr>
      <w:r>
        <w:rPr>
          <w:b/>
        </w:rPr>
        <w:t xml:space="preserve">• </w:t>
      </w:r>
      <w:r>
        <w:t>Controles contra IDOR y acceso cross-tenant.</w:t>
      </w:r>
    </w:p>
    <w:p>
      <w:pPr>
        <w:ind w:left="259" w:hanging="173"/>
      </w:pPr>
      <w:r>
        <w:rPr>
          <w:b/>
        </w:rPr>
        <w:t xml:space="preserve">• </w:t>
      </w:r>
      <w:r>
        <w:t>Respuestas 404 cuando revelar la existencia de un recurso ajeno pueda filtrar información.</w:t>
      </w:r>
    </w:p>
    <w:p>
      <w:pPr>
        <w:ind w:left="259" w:hanging="173"/>
      </w:pPr>
      <w:r>
        <w:rPr>
          <w:b/>
        </w:rPr>
        <w:t xml:space="preserve">• </w:t>
      </w:r>
      <w:r>
        <w:t>Secretos y credenciales sólo mediante configuración segura por ambiente; nunca en respuestas ni logs funcionales.</w:t>
      </w:r>
    </w:p>
    <w:p>
      <w:pPr>
        <w:pStyle w:val="Heading1"/>
      </w:pPr>
      <w:r>
        <w:t>6. Concurrencia, transacciones e idempotencia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691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Garantía requerida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Reserva de cita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Transacción, revalidación del slot, lockVersion y UNIQUE sobre la cita asociada al cupo.</w:t>
            </w:r>
          </w:p>
        </w:tc>
      </w:tr>
      <w:tr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Cancelación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Idempotencia funcional y liberación coherente del cupo sin efectos duplicados.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Aceptación de oferta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Reutiliza/transfiere la Appointment existente; nunca crea una segunda cita para el mismo slot.</w:t>
            </w:r>
          </w:p>
        </w:tc>
      </w:tr>
      <w:tr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Rechazo/expiración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Continúa sobre el mismo proceso de reasignación y respeta snapshots/historial.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Operaciones críticas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Serializable + retry acotado sólo ante conflictos transaccionales reconocidos cuando corresponda.</w:t>
            </w:r>
          </w:p>
        </w:tc>
      </w:tr>
    </w:tbl>
    <w:p>
      <w:pPr>
        <w:spacing w:after="0"/>
      </w:pPr>
    </w:p>
    <w:p>
      <w:pPr>
        <w:pStyle w:val="Heading1"/>
      </w:pPr>
      <w:r>
        <w:t>7. Notificaciones internas y procesamiento asíncrono</w:t>
      </w:r>
    </w:p>
    <w:p>
      <w:r>
        <w:t>HU-024 implementa notificaciones internas persistentes. Estas constituyen el mecanismo funcional mínimo y no dependen de un proveedor comercial. Los envíos externos del Sprint 8 se diseñan como efectos secundarios controlados: una caída del proveedor no debe convertir automáticamente una reserva, cancelación o reasignación ya confirmada en una operación fallida.</w:t>
      </w:r>
    </w:p>
    <w:p>
      <w:pPr>
        <w:ind w:left="259" w:hanging="173"/>
      </w:pPr>
      <w:r>
        <w:rPr>
          <w:b/>
        </w:rPr>
        <w:t xml:space="preserve">• </w:t>
      </w:r>
      <w:r>
        <w:t>Los eventos internos mantienen trazabilidad propia y no se sustituyen por el estado del proveedor externo.</w:t>
      </w:r>
    </w:p>
    <w:p>
      <w:pPr>
        <w:ind w:left="259" w:hanging="173"/>
      </w:pPr>
      <w:r>
        <w:rPr>
          <w:b/>
        </w:rPr>
        <w:t xml:space="preserve">• </w:t>
      </w:r>
      <w:r>
        <w:t>Los reintentos de entrega deberán ser idempotentes y acotados según cada proveedor.</w:t>
      </w:r>
    </w:p>
    <w:p>
      <w:pPr>
        <w:ind w:left="259" w:hanging="173"/>
      </w:pPr>
      <w:r>
        <w:rPr>
          <w:b/>
        </w:rPr>
        <w:t xml:space="preserve">• </w:t>
      </w:r>
      <w:r>
        <w:t>Las credenciales de proveedores se mantienen fuera de clientes y repositorio cuando sean secretas.</w:t>
      </w:r>
    </w:p>
    <w:p>
      <w:pPr>
        <w:ind w:left="259" w:hanging="173"/>
      </w:pPr>
      <w:r>
        <w:rPr>
          <w:b/>
        </w:rPr>
        <w:t xml:space="preserve">• </w:t>
      </w:r>
      <w:r>
        <w:t>No se introduce una cola, tabla outbox o dependencia adicional antes de justificarla en la HU correspondiente.</w:t>
      </w:r>
    </w:p>
    <w:p>
      <w:pPr>
        <w:pStyle w:val="Heading1"/>
      </w:pPr>
      <w:r>
        <w:t>8. Integraciones externas planificadas — Sprint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HU / RF</w:t>
            </w:r>
          </w:p>
        </w:tc>
        <w:tc>
          <w:tcPr>
            <w:tcW w:type="dxa" w:w="194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Integración</w:t>
            </w:r>
          </w:p>
        </w:tc>
        <w:tc>
          <w:tcPr>
            <w:tcW w:type="dxa" w:w="367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316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Frontera arquitectónica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HU-039 / RF-039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Resend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Correo transaccional para confirmaciones, cancelaciones, ofertas/reasignaciones y recordatorios definidos.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Adaptador backend. El dominio decide qué evento notificar; Resend sólo transporta el correo.</w:t>
            </w:r>
          </w:p>
        </w:tc>
      </w:tr>
      <w:tr>
        <w:tc>
          <w:tcPr>
            <w:tcW w:type="dxa" w:w="180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HU-040 / RF-040</w:t>
            </w:r>
          </w:p>
        </w:tc>
        <w:tc>
          <w:tcPr>
            <w:tcW w:type="dxa" w:w="194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OAuth / OpenID Connect</w:t>
            </w:r>
          </w:p>
        </w:tc>
        <w:tc>
          <w:tcPr>
            <w:tcW w:type="dxa" w:w="367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Método adicional de inicio de sesión con Google.</w:t>
            </w:r>
          </w:p>
        </w:tc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El backend valida el flujo federado y lo vincula con la identidad local; RBAC, contexto y sesión CitaJusta siguen siendo autoritativos.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HU-041 / RF-041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Calendar API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Permitir al usuario incorporar una cita confirmada a su calendario.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Autorización explícita del usuario. Calendar recibe una copia; no es fuente de verdad ni sincronización bidireccional por defecto.</w:t>
            </w:r>
          </w:p>
        </w:tc>
      </w:tr>
      <w:tr>
        <w:tc>
          <w:tcPr>
            <w:tcW w:type="dxa" w:w="180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HU-042 / RF-042</w:t>
            </w:r>
          </w:p>
        </w:tc>
        <w:tc>
          <w:tcPr>
            <w:tcW w:type="dxa" w:w="194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Maps</w:t>
            </w:r>
          </w:p>
        </w:tc>
        <w:tc>
          <w:tcPr>
            <w:tcW w:type="dxa" w:w="367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Mostrar ubicación y facilitar ruta hacia una sede.</w:t>
            </w:r>
          </w:p>
        </w:tc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Usa dirección/coordenadas reales de Branch. La geolocalización externa no reemplaza los datos institucionales persistidos.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HU-043 / RF-043</w:t>
            </w:r>
          </w:p>
        </w:tc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WhatsApp (condicionada)</w:t>
            </w:r>
          </w:p>
        </w:tc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Canal posterior de avisos/recordatorios.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Proveedor aún por definir; exige evaluación de consentimiento, plantillas, costos y políticas antes de implementar.</w:t>
            </w:r>
          </w:p>
        </w:tc>
      </w:tr>
    </w:tbl>
    <w:p>
      <w:pPr>
        <w:spacing w:after="0"/>
      </w:pPr>
    </w:p>
    <w:p>
      <w:pPr>
        <w:pStyle w:val="Heading1"/>
      </w:pPr>
      <w:r>
        <w:t>9. Reglas por integración</w:t>
      </w:r>
    </w:p>
    <w:p>
      <w:pPr>
        <w:pStyle w:val="Heading2"/>
      </w:pPr>
      <w:r>
        <w:t>9.1 Resend</w:t>
      </w:r>
    </w:p>
    <w:p>
      <w:r>
        <w:t>La integración debe partir de eventos de dominio ya confirmados y enviar contenido controlado. Un error de Resend se trata como fallo de entrega, no como motivo para revertir una cita ya persistida. La HU definirá reintentos, deduplicación y observabilidad sin exponer direcciones, tokens o respuestas del proveedor innecesariamente.</w:t>
      </w:r>
    </w:p>
    <w:p>
      <w:pPr>
        <w:pStyle w:val="Heading2"/>
      </w:pPr>
      <w:r>
        <w:t>9.2 Google OAuth / OpenID Connect</w:t>
      </w:r>
    </w:p>
    <w:p>
      <w:r>
        <w:t>Google se incorpora como método adicional de autenticación. La identidad externa se valida en backend y se relaciona con el modelo local sin permitir que claims externos sustituyan roles, permisos o contexto institucional. La autenticación existente no se elimina por defecto.</w:t>
      </w:r>
    </w:p>
    <w:p>
      <w:pPr>
        <w:pStyle w:val="Heading2"/>
      </w:pPr>
      <w:r>
        <w:t>9.3 Google Calendar</w:t>
      </w:r>
    </w:p>
    <w:p>
      <w:r>
        <w:t>Calendar requiere autorización del usuario. La acción se limita a exportar/incorporar una cita válida con datos controlados. CitaJusta conserva el estado oficial de la cita; modificaciones externas no alteran automáticamente PostgreSQL salvo una decisión futura documentada.</w:t>
      </w:r>
    </w:p>
    <w:p>
      <w:pPr>
        <w:pStyle w:val="Heading2"/>
      </w:pPr>
      <w:r>
        <w:t>9.4 Google Maps</w:t>
      </w:r>
    </w:p>
    <w:p>
      <w:r>
        <w:t>El modelo Branch ya dispone de dirección, comuna, región, país, latitud y longitud opcionales. Maps se utiliza para visualización/ruta sobre esos datos. No se fabrican coordenadas; si faltan, la interfaz debe manejar la ausencia de ubicación sin inventarla.</w:t>
      </w:r>
    </w:p>
    <w:p>
      <w:pPr>
        <w:pStyle w:val="Heading2"/>
      </w:pPr>
      <w:r>
        <w:t>9.5 WhatsApp</w:t>
      </w:r>
    </w:p>
    <w:p>
      <w:r>
        <w:t>La integración permanece planificada pero condicionada. Antes de implementarla se debe escoger proveedor, documentar costos, consentimiento y uso de plantillas, y definir qué eventos justifican el canal. El flujo núcleo de CitaJusta no dependerá de WhatsApp.</w:t>
      </w:r>
    </w:p>
    <w:p>
      <w:pPr>
        <w:pStyle w:val="Heading1"/>
      </w:pPr>
      <w:r>
        <w:t>10. Privacidad, secretos y datos hacia terceros</w:t>
      </w:r>
    </w:p>
    <w:p>
      <w:pPr>
        <w:ind w:left="259" w:hanging="173"/>
      </w:pPr>
      <w:r>
        <w:rPr>
          <w:b/>
        </w:rPr>
        <w:t xml:space="preserve">• </w:t>
      </w:r>
      <w:r>
        <w:t>Enviar únicamente datos mínimos necesarios para el propósito de cada integración.</w:t>
      </w:r>
    </w:p>
    <w:p>
      <w:pPr>
        <w:ind w:left="259" w:hanging="173"/>
      </w:pPr>
      <w:r>
        <w:rPr>
          <w:b/>
        </w:rPr>
        <w:t xml:space="preserve">• </w:t>
      </w:r>
      <w:r>
        <w:t>No enviar hashes de contraseña, refresh tokens, RBAC interno, historiales completos ni payloads de auditoría a proveedores externos.</w:t>
      </w:r>
    </w:p>
    <w:p>
      <w:pPr>
        <w:ind w:left="259" w:hanging="173"/>
      </w:pPr>
      <w:r>
        <w:rPr>
          <w:b/>
        </w:rPr>
        <w:t xml:space="preserve">• </w:t>
      </w:r>
      <w:r>
        <w:t>Los tokens OAuth y credenciales de proveedor, si requieren persistencia, deberán protegerse y su diseño se resolverá en la HU correspondiente; este documento no presupone una tabla nueva.</w:t>
      </w:r>
    </w:p>
    <w:p>
      <w:pPr>
        <w:ind w:left="259" w:hanging="173"/>
      </w:pPr>
      <w:r>
        <w:rPr>
          <w:b/>
        </w:rPr>
        <w:t xml:space="preserve">• </w:t>
      </w:r>
      <w:r>
        <w:t>En privacidad/protección de datos se documentarán medidas y decisiones sin afirmar certificación o cumplimiento legal absoluto.</w:t>
      </w:r>
    </w:p>
    <w:p>
      <w:pPr>
        <w:ind w:left="259" w:hanging="173"/>
      </w:pPr>
      <w:r>
        <w:rPr>
          <w:b/>
        </w:rPr>
        <w:t xml:space="preserve">• </w:t>
      </w:r>
      <w:r>
        <w:t>Las pruebas y evidencias utilizarán datos ficticios o controlados.</w:t>
      </w:r>
    </w:p>
    <w:p>
      <w:pPr>
        <w:pStyle w:val="Heading1"/>
      </w:pPr>
      <w:r>
        <w:t>11. Manejo de fallos y observabilidad</w:t>
      </w:r>
    </w:p>
    <w:p>
      <w:pPr>
        <w:ind w:left="259" w:hanging="173"/>
      </w:pPr>
      <w:r>
        <w:rPr>
          <w:b/>
        </w:rPr>
        <w:t xml:space="preserve">• </w:t>
      </w:r>
      <w:r>
        <w:t>Distinguir error de negocio de CitaJusta y error de proveedor externo.</w:t>
      </w:r>
    </w:p>
    <w:p>
      <w:pPr>
        <w:ind w:left="259" w:hanging="173"/>
      </w:pPr>
      <w:r>
        <w:rPr>
          <w:b/>
        </w:rPr>
        <w:t xml:space="preserve">• </w:t>
      </w:r>
      <w:r>
        <w:t>No traducir errores arbitrarios o de programación a conflictos 409.</w:t>
      </w:r>
    </w:p>
    <w:p>
      <w:pPr>
        <w:ind w:left="259" w:hanging="173"/>
      </w:pPr>
      <w:r>
        <w:rPr>
          <w:b/>
        </w:rPr>
        <w:t xml:space="preserve">• </w:t>
      </w:r>
      <w:r>
        <w:t>Registrar estado de entrega/correlación sólo cuando la HU lo requiera y sin filtrar secretos.</w:t>
      </w:r>
    </w:p>
    <w:p>
      <w:pPr>
        <w:ind w:left="259" w:hanging="173"/>
      </w:pPr>
      <w:r>
        <w:rPr>
          <w:b/>
        </w:rPr>
        <w:t xml:space="preserve">• </w:t>
      </w:r>
      <w:r>
        <w:t>Timeouts, rate limits y reintentos deben ser configurables y acotados.</w:t>
      </w:r>
    </w:p>
    <w:p>
      <w:pPr>
        <w:ind w:left="259" w:hanging="173"/>
      </w:pPr>
      <w:r>
        <w:rPr>
          <w:b/>
        </w:rPr>
        <w:t xml:space="preserve">• </w:t>
      </w:r>
      <w:r>
        <w:t>La auditoría interna conserva decisiones relevantes; logs técnicos sirven para diagnóstico y no reemplazan la bitácora.</w:t>
      </w:r>
    </w:p>
    <w:p>
      <w:pPr>
        <w:pStyle w:val="Heading1"/>
      </w:pPr>
      <w:r>
        <w:t>12. OpenAPI / Swagger y documentación de contratos</w:t>
      </w:r>
    </w:p>
    <w:p>
      <w:r>
        <w:t>Sprint 9 formaliza la documentación OpenAPI/Swagger de la API propia. La documentación generada deberá reflejar los endpoints realmente implementados, permisos, DTOs, errores y ejemplos controlados. No se documentarán como operativos endpoints externos todavía no implementados.</w:t>
      </w:r>
    </w:p>
    <w:p>
      <w:pPr>
        <w:pStyle w:val="Heading1"/>
        <w:pageBreakBefore/>
      </w:pPr>
      <w:r>
        <w:t>13. Estrategia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777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Cobertura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Unitarias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Parsers, adaptadores, validaciones, mapeos y tratamiento de errores.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Integración</w:t>
            </w:r>
          </w:p>
        </w:tc>
        <w:tc>
          <w:tcPr>
            <w:tcW w:type="dxa" w:w="777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Contratos entre módulo de dominio y adaptador externo con dobles controlados.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E2E PostgreSQL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Flujos propios de CitaJusta que modifiquen estado crítico; PostgreSQL real continúa siendo base de verificación.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Contrato externo</w:t>
            </w:r>
          </w:p>
        </w:tc>
        <w:tc>
          <w:tcPr>
            <w:tcW w:type="dxa" w:w="777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Mock/fixture de proveedor para respuestas, timeouts, errores y rate limits sin depender siempre de red real.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RBAC, multi-tenant, protección de secretos y rechazo de identidad aportada por cliente.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Manual</w:t>
            </w:r>
          </w:p>
        </w:tc>
        <w:tc>
          <w:tcPr>
            <w:tcW w:type="dxa" w:w="777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Validación de una integración real controlada cuando exista credencial de desarrollo y sea seguro hacerlo.</w:t>
            </w:r>
          </w:p>
        </w:tc>
      </w:tr>
    </w:tbl>
    <w:p>
      <w:pPr>
        <w:spacing w:after="0"/>
      </w:pPr>
    </w:p>
    <w:p>
      <w:pPr>
        <w:pStyle w:val="Heading1"/>
      </w:pPr>
      <w:r>
        <w:t>14. Trazabilidad con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HU</w:t>
            </w:r>
          </w:p>
        </w:tc>
        <w:tc>
          <w:tcPr>
            <w:tcW w:type="dxa" w:w="1440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type="dxa" w:w="172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691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Estado al 04-10-2026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HU-039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RF-039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Pendiente — Resend</w:t>
            </w:r>
          </w:p>
        </w:tc>
      </w:tr>
      <w:tr>
        <w:tc>
          <w:tcPr>
            <w:tcW w:type="dxa" w:w="144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HU-040</w:t>
            </w:r>
          </w:p>
        </w:tc>
        <w:tc>
          <w:tcPr>
            <w:tcW w:type="dxa" w:w="144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RF-040</w:t>
            </w:r>
          </w:p>
        </w:tc>
        <w:tc>
          <w:tcPr>
            <w:tcW w:type="dxa" w:w="172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Pendiente — Google OAuth/OIDC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HU-041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RF-041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Pendiente — Google Calendar</w:t>
            </w:r>
          </w:p>
        </w:tc>
      </w:tr>
      <w:tr>
        <w:tc>
          <w:tcPr>
            <w:tcW w:type="dxa" w:w="144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HU-042</w:t>
            </w:r>
          </w:p>
        </w:tc>
        <w:tc>
          <w:tcPr>
            <w:tcW w:type="dxa" w:w="144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RF-042</w:t>
            </w:r>
          </w:p>
        </w:tc>
        <w:tc>
          <w:tcPr>
            <w:tcW w:type="dxa" w:w="172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Pendiente — Google Maps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HU-043</w:t>
            </w:r>
          </w:p>
        </w:tc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RF-043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Pendiente condicionada — WhatsApp</w:t>
            </w:r>
          </w:p>
        </w:tc>
      </w:tr>
    </w:tbl>
    <w:p>
      <w:pPr>
        <w:spacing w:after="0"/>
      </w:pPr>
    </w:p>
    <w:p>
      <w:pPr>
        <w:pStyle w:val="Heading1"/>
      </w:pPr>
      <w:r>
        <w:t>15. Criterios arquitectónicos de aceptación</w:t>
      </w:r>
    </w:p>
    <w:p>
      <w:pPr>
        <w:ind w:left="259" w:hanging="173"/>
      </w:pPr>
      <w:r>
        <w:rPr>
          <w:b/>
        </w:rPr>
        <w:t xml:space="preserve">• </w:t>
      </w:r>
      <w:r>
        <w:t>Las integraciones no duplican reglas de negocio en Web o Desktop.</w:t>
      </w:r>
    </w:p>
    <w:p>
      <w:pPr>
        <w:ind w:left="259" w:hanging="173"/>
      </w:pPr>
      <w:r>
        <w:rPr>
          <w:b/>
        </w:rPr>
        <w:t xml:space="preserve">• </w:t>
      </w:r>
      <w:r>
        <w:t>Ningún proveedor externo se convierte en fuente de verdad de citas, permisos o tenant.</w:t>
      </w:r>
    </w:p>
    <w:p>
      <w:pPr>
        <w:ind w:left="259" w:hanging="173"/>
      </w:pPr>
      <w:r>
        <w:rPr>
          <w:b/>
        </w:rPr>
        <w:t xml:space="preserve">• </w:t>
      </w:r>
      <w:r>
        <w:t>Las operaciones críticas mantienen transacciones, lockVersion y restricciones existentes.</w:t>
      </w:r>
    </w:p>
    <w:p>
      <w:pPr>
        <w:ind w:left="259" w:hanging="173"/>
      </w:pPr>
      <w:r>
        <w:rPr>
          <w:b/>
        </w:rPr>
        <w:t xml:space="preserve">• </w:t>
      </w:r>
      <w:r>
        <w:t>Las rutas externas planificadas sólo se incorporan al contrato cuando una HU las implemente y pruebe.</w:t>
      </w:r>
    </w:p>
    <w:p>
      <w:pPr>
        <w:ind w:left="259" w:hanging="173"/>
      </w:pPr>
      <w:r>
        <w:rPr>
          <w:b/>
        </w:rPr>
        <w:t xml:space="preserve">• </w:t>
      </w:r>
      <w:r>
        <w:t>OpenAPI de Sprint 9 representa el estado real y no una lista aspiracional de endpoints.</w:t>
      </w:r>
    </w:p>
    <w:p>
      <w:pPr>
        <w:ind w:left="259" w:hanging="173"/>
      </w:pPr>
      <w:r>
        <w:rPr>
          <w:b/>
        </w:rPr>
        <w:t xml:space="preserve">• </w:t>
      </w:r>
      <w:r>
        <w:t>La ausencia temporal de un proveedor externo no invalida el núcleo ya persistido cuando la operación de negocio fue confirmada.</w:t>
      </w:r>
    </w:p>
    <w:p>
      <w:pPr>
        <w:pStyle w:val="Heading1"/>
      </w:pPr>
      <w:r>
        <w:t>16. Conclusión</w:t>
      </w:r>
    </w:p>
    <w:p>
      <w:r>
        <w:t>La arquitectura de APIs v0.2 mantiene la API propia de CitaJusta como frontera de autoridad y formaliza integraciones externas desacopladas. Sprint 8 incorporará Resend y Google sin trasladar fuera del backend la fuente de verdad, RBAC, multi-tenancy ni trazabilidad; WhatsApp permanece condicionada. Sprint 9 cerrará OpenAPI/Swagger y el endurecimiento técnico.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491"/>
        <w:sz w:val="14"/>
      </w:rPr>
      <w:t xml:space="preserve">CitaJusta — Arquitectura de APIs — v0.2 · </w:t>
    </w:r>
    <w: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51560" cy="2354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354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A6B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2D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