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Arial" w:cs="Arial" w:eastAsia="Arial" w:hAnsi="Arial"/>
          <w:sz w:val="56"/>
          <w:szCs w:val="56"/>
          <w:rtl w:val="0"/>
        </w:rPr>
        <w:t xml:space="preserve">CITAJUSTA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Arial" w:cs="Arial" w:eastAsia="Arial" w:hAnsi="Arial"/>
          <w:b w:val="0"/>
          <w:bCs w:val="0"/>
          <w:sz w:val="56"/>
          <w:szCs w:val="56"/>
          <w:rtl w:val="0"/>
        </w:rPr>
        <w:t xml:space="preserve">Requisitos Funcionales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>Proyecto de Título: Ingeniería en Informática</w:t>
        <w:br/>
        <w:t>Sede: Duoc UC Puente Alto</w:t>
        <w:br/>
        <w:t>Versión: 0.2</w:t>
        <w:br/>
        <w:t>Estado: Actualizado</w:t>
        <w:br/>
        <w:t>Fecha: 04 de octubre de 2026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20" w:before="32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2733675" cy="2733675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733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Integrantes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1"/>
          <w:szCs w:val="21"/>
          <w:u w:val="none"/>
          <w:shd w:fill="auto" w:val="clear"/>
          <w:vertAlign w:val="baseline"/>
          <w:rtl w:val="0"/>
        </w:rPr>
        <w:t xml:space="preserve">Matías Andrés Torres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1"/>
          <w:szCs w:val="21"/>
          <w:u w:val="none"/>
          <w:shd w:fill="auto" w:val="clear"/>
          <w:vertAlign w:val="baseline"/>
          <w:rtl w:val="0"/>
        </w:rPr>
        <w:t xml:space="preserve">Bastian Sepúlveda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1"/>
          <w:szCs w:val="21"/>
          <w:u w:val="none"/>
          <w:shd w:fill="auto" w:val="clear"/>
          <w:vertAlign w:val="baseline"/>
          <w:rtl w:val="0"/>
        </w:rPr>
        <w:t xml:space="preserve">Diego Simon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Control de versiones</w:t>
      </w:r>
    </w:p>
    <w:tbl>
      <w:tblPr>
        <w:tblStyle w:val="Table1"/>
        <w:tblW w:w="1016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1"/>
        <w:gridCol w:w="2541"/>
        <w:gridCol w:w="2541"/>
        <w:gridCol w:w="2541"/>
        <w:tblGridChange w:id="0">
          <w:tblGrid>
            <w:gridCol w:w="2541"/>
            <w:gridCol w:w="2541"/>
            <w:gridCol w:w="2541"/>
            <w:gridCol w:w="2541"/>
          </w:tblGrid>
        </w:tblGridChange>
      </w:tblGrid>
      <w:tr>
        <w:trPr>
          <w:cantSplit w:val="1"/>
          <w:tblHeader w:val="1"/>
        </w:trPr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0A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0B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0C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0D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/>
          <w:p w:rsidR="00000000" w:rsidDel="00000000" w:rsidP="00000000" w:rsidRDefault="00000000" w:rsidRPr="00000000" w14:paraId="0000000E">
            <w:pPr>
              <w:rPr/>
              <w:keepLines w:val="1"/>
            </w:pPr>
            <w:r w:rsidDel="00000000" w:rsidR="00000000" w:rsidRPr="00000000">
              <w:rPr>
                <w:rtl w:val="0"/>
              </w:rPr>
              <w:t xml:space="preserve">0.1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  <w:keepLines w:val="1"/>
            </w:pPr>
            <w:r w:rsidDel="00000000" w:rsidR="00000000" w:rsidRPr="00000000">
              <w:rPr>
                <w:rtl w:val="0"/>
              </w:rPr>
              <w:t xml:space="preserve">24-08-2026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  <w:keepLines w:val="1"/>
            </w:pPr>
            <w:r w:rsidDel="00000000" w:rsidR="00000000" w:rsidRPr="00000000">
              <w:rPr>
                <w:rtl w:val="0"/>
              </w:rPr>
              <w:t xml:space="preserve">Equipo CitaJusta</w:t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  <w:keepLines w:val="1"/>
            </w:pPr>
            <w:r w:rsidDel="00000000" w:rsidR="00000000" w:rsidRPr="00000000">
              <w:rPr>
                <w:rtl w:val="0"/>
              </w:rPr>
              <w:t xml:space="preserve">Creación inicial del documento requisitos funcionales.</w:t>
            </w:r>
          </w:p>
        </w:tc>
      </w:tr>
      <w:tr>
        <w:trPr>
          <w:cantSplit w:val="1"/>
        </w:trPr>
        <w:tc>
          <w:tcPr>
            <w:tcW w:type="dxa" w:w="2541"/>
          </w:tcPr>
          <w:p>
            <w:pPr>
              <w:keepLines w:val="1"/>
            </w:pPr>
            <w:r>
              <w:t>0.2</w:t>
            </w:r>
          </w:p>
        </w:tc>
        <w:tc>
          <w:tcPr>
            <w:tcW w:type="dxa" w:w="2541"/>
          </w:tcPr>
          <w:p>
            <w:pPr>
              <w:keepLines w:val="1"/>
            </w:pPr>
            <w:r>
              <w:t>04-10-2026</w:t>
            </w:r>
          </w:p>
        </w:tc>
        <w:tc>
          <w:tcPr>
            <w:tcW w:type="dxa" w:w="2541"/>
          </w:tcPr>
          <w:p>
            <w:pPr>
              <w:keepLines w:val="1"/>
            </w:pPr>
            <w:r>
              <w:t>Equipo CitaJusta</w:t>
            </w:r>
          </w:p>
        </w:tc>
        <w:tc>
          <w:tcPr>
            <w:tcW w:type="dxa" w:w="2541"/>
          </w:tcPr>
          <w:p>
            <w:pPr>
              <w:keepLines w:val="1"/>
            </w:pPr>
            <w:r>
              <w:t>Actualización para incorporar RF-039 a RF-043 de integraciones externas y alinear el documento con la planificación de Sprint 8.</w:t>
            </w:r>
          </w:p>
        </w:tc>
      </w:tr>
    </w:tbl>
    <w:p w:rsidR="00000000" w:rsidDel="00000000" w:rsidP="00000000" w:rsidRDefault="00000000" w:rsidRPr="00000000" w14:paraId="0000001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sdt>
      <w:sdtPr>
        <w:id w:val="-47530467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0166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 Propósito del documento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0166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 Convenciones y prioridad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0166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 Autenticación y cuenta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0166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4. Instituciones, sedes, servicios y profesionales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0166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5. Agenda y citas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0166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6. Lista de espera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0166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7. Motor de reasignación y ofertas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0166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8. Notificaciones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0166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9. Administración, reportes y auditoría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0166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10. Integraciones externas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0166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11. Requisitos funcionales del MVP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0166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12. Trazabilidad con Scrum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0166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13. Conclusión</w:t>
              <w:tab/>
            </w:r>
          </w:hyperlink>
          <w:r w:rsidDel="00000000" w:rsidR="00000000" w:rsidRPr="00000000">
            <w:fldChar w:fldCharType="begin"/>
            <w:instrText xml:space="preserve"> PAGEREF _heading=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rPr/>
      </w:pPr>
      <w:r w:rsidDel="00000000" w:rsidR="00000000" w:rsidRPr="00000000">
        <w:rPr>
          <w:rtl w:val="0"/>
        </w:rPr>
        <w:t xml:space="preserve">1. Propósito del documento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>Definir las funciones que CitaJusta debe proporcionar a usuarios finales, funcionarios, profesionales y administradores, incluyendo las integraciones externas planificadas para la versión objetivo. Los requisitos servirán como entrada para el Product Backlog, las historias de usuario, los criterios de aceptación y las pruebas del proyecto.</w:t>
      </w:r>
    </w:p>
    <w:p w:rsidR="00000000" w:rsidDel="00000000" w:rsidP="00000000" w:rsidRDefault="00000000" w:rsidRPr="00000000" w14:paraId="0000002D">
      <w:pPr>
        <w:pStyle w:val="Heading1"/>
        <w:rPr/>
      </w:pPr>
      <w:r w:rsidDel="00000000" w:rsidR="00000000" w:rsidRPr="00000000">
        <w:rPr>
          <w:rtl w:val="0"/>
        </w:rPr>
        <w:t xml:space="preserve">2. Convenciones y prioridad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Cada requisito utiliza el identificador RF-XXX. La prioridad se clasifica como Crítica, Alta, Media o Baja. La columna de alcance distingue entre funcionalidades obligatorias del Producto Mínimo Viable (MVP) y funcionalidades de la versión objetivo.</w:t>
      </w:r>
    </w:p>
    <w:p w:rsidR="00000000" w:rsidDel="00000000" w:rsidP="00000000" w:rsidRDefault="00000000" w:rsidRPr="00000000" w14:paraId="0000002F">
      <w:pPr>
        <w:pStyle w:val="Heading1"/>
        <w:rPr/>
      </w:pPr>
      <w:r w:rsidDel="00000000" w:rsidR="00000000" w:rsidRPr="00000000">
        <w:rPr>
          <w:rtl w:val="0"/>
        </w:rPr>
        <w:t xml:space="preserve">3. Autenticación y cuenta</w:t>
      </w:r>
    </w:p>
    <w:tbl>
      <w:tblPr>
        <w:tblStyle w:val="Table2"/>
        <w:tblW w:w="101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33"/>
        <w:gridCol w:w="2033"/>
        <w:gridCol w:w="2033"/>
        <w:gridCol w:w="2033"/>
        <w:gridCol w:w="2033"/>
        <w:tblGridChange w:id="0">
          <w:tblGrid>
            <w:gridCol w:w="2033"/>
            <w:gridCol w:w="2033"/>
            <w:gridCol w:w="2033"/>
            <w:gridCol w:w="2033"/>
            <w:gridCol w:w="2033"/>
          </w:tblGrid>
        </w:tblGridChange>
      </w:tblGrid>
      <w:tr>
        <w:trPr>
          <w:cantSplit w:val="1"/>
          <w:tblHeader w:val="1"/>
        </w:trPr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30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31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32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33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34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35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Autenticación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el registro de un usuario final con los datos mínimos requeridos.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8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9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3A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B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Autenticación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C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iniciar y cerrar sesión de forma segura.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D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E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3F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0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Autenticación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1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recuperar el acceso a una cuenta mediante un flujo controlado.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3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44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5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Cuenta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6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consultar y actualizar datos básicos del perfil y preferencias de notificación.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7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8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pStyle w:val="Heading1"/>
        <w:rPr/>
      </w:pPr>
      <w:r w:rsidDel="00000000" w:rsidR="00000000" w:rsidRPr="00000000">
        <w:rPr>
          <w:rtl w:val="0"/>
        </w:rPr>
        <w:t xml:space="preserve">4. Instituciones, sedes, servicios y profesionales</w:t>
      </w:r>
    </w:p>
    <w:tbl>
      <w:tblPr>
        <w:tblStyle w:val="Table3"/>
        <w:tblW w:w="101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33"/>
        <w:gridCol w:w="2033"/>
        <w:gridCol w:w="2033"/>
        <w:gridCol w:w="2033"/>
        <w:gridCol w:w="2033"/>
        <w:tblGridChange w:id="0">
          <w:tblGrid>
            <w:gridCol w:w="2033"/>
            <w:gridCol w:w="2033"/>
            <w:gridCol w:w="2033"/>
            <w:gridCol w:w="2033"/>
            <w:gridCol w:w="2033"/>
          </w:tblGrid>
        </w:tblGridChange>
      </w:tblGrid>
      <w:tr>
        <w:trPr>
          <w:cantSplit w:val="1"/>
          <w:tblHeader w:val="1"/>
        </w:trPr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4A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4B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4C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4D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4E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4F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0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Administración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1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registrar y administrar instituciones.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54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5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Administración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6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registrar y administrar sedes asociadas a una institución.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7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8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59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A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Administración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B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crear, editar, activar y desactivar servicios ofrecidos por una institución.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C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D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Administración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registrar profesionales y asociarlos a servicios y sedes.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1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63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4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Disponibilidad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configurar disponibilidad, bloques de atención e indisponibilidades de profesionales.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7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68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Administración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A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búsqueda y filtros operativos sobre usuarios, citas, listas de espera y reasignaciones.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pStyle w:val="Heading1"/>
        <w:rPr/>
      </w:pPr>
      <w:r w:rsidDel="00000000" w:rsidR="00000000" w:rsidRPr="00000000">
        <w:rPr>
          <w:rtl w:val="0"/>
        </w:rPr>
        <w:t xml:space="preserve">5. Agenda y citas</w:t>
      </w:r>
    </w:p>
    <w:tbl>
      <w:tblPr>
        <w:tblStyle w:val="Table4"/>
        <w:tblW w:w="101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33"/>
        <w:gridCol w:w="2033"/>
        <w:gridCol w:w="2033"/>
        <w:gridCol w:w="2033"/>
        <w:gridCol w:w="2033"/>
        <w:tblGridChange w:id="0">
          <w:tblGrid>
            <w:gridCol w:w="2033"/>
            <w:gridCol w:w="2033"/>
            <w:gridCol w:w="2033"/>
            <w:gridCol w:w="2033"/>
            <w:gridCol w:w="2033"/>
          </w:tblGrid>
        </w:tblGridChange>
      </w:tblGrid>
      <w:tr>
        <w:trPr>
          <w:cantSplit w:val="1"/>
          <w:tblHeader w:val="1"/>
        </w:trPr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6E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6F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70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71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72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Agenda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consultar la agenda por fecha, sede, servicio, profesional y estado.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6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78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9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Citas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al usuario buscar citas por servicio, sede y preferencia temporal.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C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7D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Citas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F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Mostrar los cupos disponibles compatibles con los filtros definidos.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Citas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reservar un cupo disponible y generar la cita correspondiente.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5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87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8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Citas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consultar el detalle y estado de las citas propias.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B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8C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Citas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E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cancelar una cita y registrar el evento asociado.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Citas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confirmar asistencia cuando la regla institucional lo requiera.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4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96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7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Citas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al funcionario registrar asistencia o inasistencia.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A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pStyle w:val="Heading1"/>
        <w:rPr/>
      </w:pPr>
      <w:r w:rsidDel="00000000" w:rsidR="00000000" w:rsidRPr="00000000">
        <w:rPr>
          <w:rtl w:val="0"/>
        </w:rPr>
        <w:t xml:space="preserve">6. Lista de espera</w:t>
      </w:r>
    </w:p>
    <w:tbl>
      <w:tblPr>
        <w:tblStyle w:val="Table5"/>
        <w:tblW w:w="101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33"/>
        <w:gridCol w:w="2033"/>
        <w:gridCol w:w="2033"/>
        <w:gridCol w:w="2033"/>
        <w:gridCol w:w="2033"/>
        <w:tblGridChange w:id="0">
          <w:tblGrid>
            <w:gridCol w:w="2033"/>
            <w:gridCol w:w="2033"/>
            <w:gridCol w:w="2033"/>
            <w:gridCol w:w="2033"/>
            <w:gridCol w:w="2033"/>
          </w:tblGrid>
        </w:tblGridChange>
      </w:tblGrid>
      <w:tr>
        <w:trPr>
          <w:cantSplit w:val="1"/>
          <w:tblHeader w:val="1"/>
        </w:trPr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9C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9D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9E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9F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A0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A1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Lista de espera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3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ingresar a una lista de espera cuando no exista disponibilidad adecuada.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4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5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A6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7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Lista de espera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8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registrar días, rangos horarios y sedes preferidas.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9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A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AB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C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Lista de espera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D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consultar el estado de las solicitudes de espera activas.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E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F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B0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1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Lista de espera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2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modificar preferencias válidas o retirarse de la lista.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3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4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5">
      <w:pPr>
        <w:pStyle w:val="Heading1"/>
        <w:rPr/>
      </w:pPr>
      <w:r w:rsidDel="00000000" w:rsidR="00000000" w:rsidRPr="00000000">
        <w:rPr>
          <w:rtl w:val="0"/>
        </w:rPr>
        <w:t xml:space="preserve">7. Motor de reasignación y ofertas</w:t>
      </w:r>
    </w:p>
    <w:tbl>
      <w:tblPr>
        <w:tblStyle w:val="Table6"/>
        <w:tblW w:w="101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33"/>
        <w:gridCol w:w="2033"/>
        <w:gridCol w:w="2033"/>
        <w:gridCol w:w="2033"/>
        <w:gridCol w:w="2033"/>
        <w:tblGridChange w:id="0">
          <w:tblGrid>
            <w:gridCol w:w="2033"/>
            <w:gridCol w:w="2033"/>
            <w:gridCol w:w="2033"/>
            <w:gridCol w:w="2033"/>
            <w:gridCol w:w="2033"/>
          </w:tblGrid>
        </w:tblGridChange>
      </w:tblGrid>
      <w:tr>
        <w:trPr>
          <w:cantSplit w:val="1"/>
          <w:tblHeader w:val="1"/>
        </w:trPr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B6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B7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B8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B9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BA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BB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C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Reasignación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D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Detectar una cancelación y marcar el cupo como disponible para reasignación.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E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F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C0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1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Reasignación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2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Buscar candidatos activos de la lista de espera para el mismo servicio.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3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4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C5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6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Reasignación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7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Excluir candidatos incompatibles según sede, disponibilidad y restricciones.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8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9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CA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B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Reasignación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C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Ordenar candidatos aplicando reglas de prioridad y compatibilidad definidas.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D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CE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CF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0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Ofertas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1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Generar una oferta temporal para el candidato seleccionado.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2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3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D4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5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Ofertas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6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al usuario aceptar una oferta vigente.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7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8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D9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A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Ofertas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B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rechazar una oferta y registrar el resultado.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C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D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DE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F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Ofertas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0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Expirar automáticamente una oferta al superar su tiempo de vigencia.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1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2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E3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4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Reasignación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5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Continuar con el siguiente candidato cuando la oferta sea rechazada o expire.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6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7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E8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9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Reasignación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A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Confirmar la disponibilidad del cupo antes de efectuar la reasignación definitiva.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B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C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ED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E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Reasignación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EF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Permitir supervisión y, con autorización, ejecución manual de reasignaciones excepcionales.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0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1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F2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3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Reasignación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4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Mostrar los criterios principales que justifican el orden de candidatos.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5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6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7">
      <w:pPr>
        <w:pStyle w:val="Heading1"/>
        <w:rPr/>
      </w:pPr>
      <w:r w:rsidDel="00000000" w:rsidR="00000000" w:rsidRPr="00000000">
        <w:rPr>
          <w:rtl w:val="0"/>
        </w:rPr>
        <w:t xml:space="preserve">8. Notificaciones</w:t>
      </w:r>
    </w:p>
    <w:tbl>
      <w:tblPr>
        <w:tblStyle w:val="Table7"/>
        <w:tblW w:w="101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33"/>
        <w:gridCol w:w="2033"/>
        <w:gridCol w:w="2033"/>
        <w:gridCol w:w="2033"/>
        <w:gridCol w:w="2033"/>
        <w:tblGridChange w:id="0">
          <w:tblGrid>
            <w:gridCol w:w="2033"/>
            <w:gridCol w:w="2033"/>
            <w:gridCol w:w="2033"/>
            <w:gridCol w:w="2033"/>
            <w:gridCol w:w="2033"/>
          </w:tblGrid>
        </w:tblGridChange>
      </w:tblGrid>
      <w:tr>
        <w:trPr>
          <w:cantSplit w:val="1"/>
          <w:tblHeader w:val="1"/>
        </w:trPr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F8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F9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FA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FB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0FC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0FD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E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Notificaciones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FF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Generar notificaciones internas por confirmación, cancelación, lista de espera y ofertas.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0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1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2">
      <w:pPr>
        <w:pStyle w:val="Heading1"/>
        <w:rPr/>
      </w:pPr>
      <w:r w:rsidDel="00000000" w:rsidR="00000000" w:rsidRPr="00000000">
        <w:rPr>
          <w:rtl w:val="0"/>
        </w:rPr>
        <w:t xml:space="preserve">9. Administración, reportes y auditoría</w:t>
      </w:r>
    </w:p>
    <w:tbl>
      <w:tblPr>
        <w:tblStyle w:val="Table8"/>
        <w:tblW w:w="101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33"/>
        <w:gridCol w:w="2033"/>
        <w:gridCol w:w="2033"/>
        <w:gridCol w:w="2033"/>
        <w:gridCol w:w="2033"/>
        <w:tblGridChange w:id="0">
          <w:tblGrid>
            <w:gridCol w:w="2033"/>
            <w:gridCol w:w="2033"/>
            <w:gridCol w:w="2033"/>
            <w:gridCol w:w="2033"/>
            <w:gridCol w:w="2033"/>
          </w:tblGrid>
        </w:tblGridChange>
      </w:tblGrid>
      <w:tr>
        <w:trPr>
          <w:cantSplit w:val="1"/>
          <w:tblHeader w:val="1"/>
        </w:trPr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103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104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105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106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7f6" w:val="clear"/>
            <w:vAlign w:val="center"/>
          </w:tcPr>
          <w:p w:rsidR="00000000" w:rsidDel="00000000" w:rsidP="00000000" w:rsidRDefault="00000000" w:rsidRPr="00000000" w14:paraId="00000107">
            <w:pPr>
              <w:rPr/>
              <w:keepLines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108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9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Seguridad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A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Restringir acciones y vistas según rol y permiso.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B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C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10D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E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Auditoría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F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Registrar eventos críticos de autenticación, citas, ofertas, reasignaciones y cambios administrativos.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0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1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</w:trPr>
        <w:tc>
          <w:tcPr>
            <w:vAlign w:val="top"/>
          </w:tcPr>
          <w:p w:rsidR="00000000" w:rsidDel="00000000" w:rsidP="00000000" w:rsidRDefault="00000000" w:rsidRPr="00000000" w14:paraId="00000112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RF-037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3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Reportes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4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Consultar indicadores de citas, cancelaciones, inasistencias, ofertas y cupos recuperados.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5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16">
            <w:pPr>
              <w:rPr/>
              <w:keepLines w:val="1"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7">
      <w:pPr>
        <w:pStyle w:val="Heading1"/>
        <w:rPr/>
      </w:pPr>
      <w:r w:rsidDel="00000000" w:rsidR="00000000" w:rsidRPr="00000000">
        <w:rPr>
          <w:rtl w:val="0"/>
        </w:rPr>
        <w:t>10. Integraciones externas</w:t>
      </w:r>
    </w:p>
    <w:tbl>
      <w:tblPr>
        <w:tblStyle w:val="Table8"/>
        <w:tblW w:w="101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33"/>
        <w:gridCol w:w="2033"/>
        <w:gridCol w:w="2033"/>
        <w:gridCol w:w="2033"/>
        <w:gridCol w:w="2033"/>
        <w:tblGridChange w:id="0">
          <w:tblGrid>
            <w:gridCol w:w="2033"/>
            <w:gridCol w:w="2033"/>
            <w:gridCol w:w="2033"/>
            <w:gridCol w:w="2033"/>
            <w:gridCol w:w="2033"/>
          </w:tblGrid>
        </w:tblGridChange>
      </w:tblGrid>
      <w:tr>
        <w:trPr>
          <w:cantSplit w:val="1"/>
          <w:tblHeader w:val="1"/>
        </w:trPr>
        <w:tc>
          <w:tcPr>
            <w:shd w:fill="eaf7f6" w:val="clear"/>
            <w:vAlign w:val="center"/>
          </w:tcPr>
          <w:p>
            <w:pPr>
              <w:keepLines w:val="1"/>
            </w:pPr>
            <w:r>
              <w:t>ID</w:t>
            </w:r>
          </w:p>
        </w:tc>
        <w:tc>
          <w:tcPr>
            <w:shd w:fill="eaf7f6" w:val="clear"/>
            <w:vAlign w:val="center"/>
          </w:tcPr>
          <w:p>
            <w:pPr>
              <w:keepLines w:val="1"/>
            </w:pPr>
            <w:r>
              <w:t>Módulo</w:t>
            </w:r>
          </w:p>
        </w:tc>
        <w:tc>
          <w:tcPr>
            <w:shd w:fill="eaf7f6" w:val="clear"/>
            <w:vAlign w:val="center"/>
          </w:tcPr>
          <w:p>
            <w:pPr>
              <w:keepLines w:val="1"/>
            </w:pPr>
            <w:r>
              <w:t>Requisito</w:t>
            </w:r>
          </w:p>
        </w:tc>
        <w:tc>
          <w:tcPr>
            <w:shd w:fill="eaf7f6" w:val="clear"/>
            <w:vAlign w:val="center"/>
          </w:tcPr>
          <w:p>
            <w:pPr>
              <w:keepLines w:val="1"/>
            </w:pPr>
            <w:r>
              <w:t>Prioridad</w:t>
            </w:r>
          </w:p>
        </w:tc>
        <w:tc>
          <w:tcPr>
            <w:shd w:fill="eaf7f6" w:val="clear"/>
            <w:vAlign w:val="center"/>
          </w:tcPr>
          <w:p>
            <w:pPr>
              <w:keepLines w:val="1"/>
            </w:pPr>
            <w:r>
              <w:t>Alcance</w:t>
            </w:r>
          </w:p>
        </w:tc>
      </w:tr>
      <w:tr>
        <w:trPr>
          <w:cantSplit w:val="1"/>
        </w:trPr>
        <w:tc>
          <w:tcPr>
            <w:vAlign w:val="top"/>
          </w:tcPr>
          <w:p>
            <w:pPr>
              <w:keepLines w:val="1"/>
            </w:pPr>
            <w:r>
              <w:t>RF-039</w:t>
            </w:r>
          </w:p>
        </w:tc>
        <w:tc>
          <w:tcPr>
            <w:vAlign w:val="top"/>
          </w:tcPr>
          <w:p>
            <w:pPr>
              <w:keepLines w:val="1"/>
            </w:pPr>
            <w:r>
              <w:t>Notificaciones externas</w:t>
            </w:r>
          </w:p>
        </w:tc>
        <w:tc>
          <w:tcPr>
            <w:vAlign w:val="top"/>
          </w:tcPr>
          <w:p>
            <w:pPr>
              <w:keepLines w:val="1"/>
            </w:pPr>
            <w:r>
              <w:t>Enviar correos transaccionales mediante Resend para eventos priorizados de citas, cancelaciones, ofertas y reasignaciones, sin alterar el estado de negocio ya persistido.</w:t>
            </w:r>
          </w:p>
        </w:tc>
        <w:tc>
          <w:tcPr>
            <w:vAlign w:val="top"/>
          </w:tcPr>
          <w:p>
            <w:pPr>
              <w:keepLines w:val="1"/>
            </w:pPr>
            <w:r>
              <w:t>Alta</w:t>
            </w:r>
          </w:p>
        </w:tc>
        <w:tc>
          <w:tcPr>
            <w:vAlign w:val="top"/>
          </w:tcPr>
          <w:p>
            <w:pPr>
              <w:keepLines w:val="1"/>
            </w:pPr>
            <w:r>
              <w:t>Objetivo</w:t>
            </w:r>
          </w:p>
        </w:tc>
      </w:tr>
      <w:tr>
        <w:trPr>
          <w:cantSplit w:val="1"/>
        </w:trPr>
        <w:tc>
          <w:tcPr>
            <w:vAlign w:val="top"/>
          </w:tcPr>
          <w:p>
            <w:pPr>
              <w:keepLines w:val="1"/>
            </w:pPr>
            <w:r>
              <w:t>RF-040</w:t>
            </w:r>
          </w:p>
        </w:tc>
        <w:tc>
          <w:tcPr>
            <w:vAlign w:val="top"/>
          </w:tcPr>
          <w:p>
            <w:pPr>
              <w:keepLines w:val="1"/>
            </w:pPr>
            <w:r>
              <w:t>Autenticación externa</w:t>
            </w:r>
          </w:p>
        </w:tc>
        <w:tc>
          <w:tcPr>
            <w:vAlign w:val="top"/>
          </w:tcPr>
          <w:p>
            <w:pPr>
              <w:keepLines w:val="1"/>
            </w:pPr>
            <w:r>
              <w:t>Permitir iniciar sesión mediante Google OAuth / OpenID Connect como método adicional, preservando la autenticación, RBAC y contexto institucional existentes.</w:t>
            </w:r>
          </w:p>
        </w:tc>
        <w:tc>
          <w:tcPr>
            <w:vAlign w:val="top"/>
          </w:tcPr>
          <w:p>
            <w:pPr>
              <w:keepLines w:val="1"/>
            </w:pPr>
            <w:r>
              <w:t>Alta</w:t>
            </w:r>
          </w:p>
        </w:tc>
        <w:tc>
          <w:tcPr>
            <w:vAlign w:val="top"/>
          </w:tcPr>
          <w:p>
            <w:pPr>
              <w:keepLines w:val="1"/>
            </w:pPr>
            <w:r>
              <w:t>Objetivo</w:t>
            </w:r>
          </w:p>
        </w:tc>
      </w:tr>
      <w:tr>
        <w:trPr>
          <w:cantSplit w:val="1"/>
        </w:trPr>
        <w:tc>
          <w:tcPr>
            <w:vAlign w:val="top"/>
          </w:tcPr>
          <w:p>
            <w:pPr>
              <w:keepLines w:val="1"/>
            </w:pPr>
            <w:r>
              <w:t>RF-041</w:t>
            </w:r>
          </w:p>
        </w:tc>
        <w:tc>
          <w:tcPr>
            <w:vAlign w:val="top"/>
          </w:tcPr>
          <w:p>
            <w:pPr>
              <w:keepLines w:val="1"/>
            </w:pPr>
            <w:r>
              <w:t>Calendario</w:t>
            </w:r>
          </w:p>
        </w:tc>
        <w:tc>
          <w:tcPr>
            <w:vAlign w:val="top"/>
          </w:tcPr>
          <w:p>
            <w:pPr>
              <w:keepLines w:val="1"/>
            </w:pPr>
            <w:r>
              <w:t>Permitir al usuario agregar una cita propia confirmada a Google Calendar mediante autorización explícita, manteniendo a CitaJusta/PostgreSQL como fuente de verdad.</w:t>
            </w:r>
          </w:p>
        </w:tc>
        <w:tc>
          <w:tcPr>
            <w:vAlign w:val="top"/>
          </w:tcPr>
          <w:p>
            <w:pPr>
              <w:keepLines w:val="1"/>
            </w:pPr>
            <w:r>
              <w:t>Media</w:t>
            </w:r>
          </w:p>
        </w:tc>
        <w:tc>
          <w:tcPr>
            <w:vAlign w:val="top"/>
          </w:tcPr>
          <w:p>
            <w:pPr>
              <w:keepLines w:val="1"/>
            </w:pPr>
            <w:r>
              <w:t>Objetivo</w:t>
            </w:r>
          </w:p>
        </w:tc>
      </w:tr>
      <w:tr>
        <w:trPr>
          <w:cantSplit w:val="1"/>
        </w:trPr>
        <w:tc>
          <w:tcPr>
            <w:tcW w:type="dxa" w:w="2033"/>
          </w:tcPr>
          <w:p>
            <w:pPr>
              <w:keepLines w:val="1"/>
            </w:pPr>
            <w:r>
              <w:t>RF-042</w:t>
            </w:r>
          </w:p>
        </w:tc>
        <w:tc>
          <w:tcPr>
            <w:tcW w:type="dxa" w:w="2033"/>
          </w:tcPr>
          <w:p>
            <w:pPr>
              <w:keepLines w:val="1"/>
            </w:pPr>
            <w:r>
              <w:t>Ubicación</w:t>
            </w:r>
          </w:p>
        </w:tc>
        <w:tc>
          <w:tcPr>
            <w:tcW w:type="dxa" w:w="2033"/>
          </w:tcPr>
          <w:p>
            <w:pPr>
              <w:keepLines w:val="1"/>
            </w:pPr>
            <w:r>
              <w:t>Permitir visualizar la ubicación real de una sede y facilitar una ruta mediante Google Maps usando dirección o coordenadas institucionales reales.</w:t>
            </w:r>
          </w:p>
        </w:tc>
        <w:tc>
          <w:tcPr>
            <w:tcW w:type="dxa" w:w="2033"/>
          </w:tcPr>
          <w:p>
            <w:pPr>
              <w:keepLines w:val="1"/>
            </w:pPr>
            <w:r>
              <w:t>Media</w:t>
            </w:r>
          </w:p>
        </w:tc>
        <w:tc>
          <w:tcPr>
            <w:tcW w:type="dxa" w:w="2033"/>
          </w:tcPr>
          <w:p>
            <w:pPr>
              <w:keepLines w:val="1"/>
            </w:pPr>
            <w:r>
              <w:t>Objetivo</w:t>
            </w:r>
          </w:p>
        </w:tc>
      </w:tr>
      <w:tr>
        <w:trPr>
          <w:cantSplit w:val="1"/>
        </w:trPr>
        <w:tc>
          <w:tcPr>
            <w:tcW w:type="dxa" w:w="2033"/>
          </w:tcPr>
          <w:p>
            <w:pPr>
              <w:keepLines w:val="1"/>
            </w:pPr>
            <w:r>
              <w:t>RF-043</w:t>
            </w:r>
          </w:p>
        </w:tc>
        <w:tc>
          <w:tcPr>
            <w:tcW w:type="dxa" w:w="2033"/>
          </w:tcPr>
          <w:p>
            <w:pPr>
              <w:keepLines w:val="1"/>
            </w:pPr>
            <w:r>
              <w:t>Notificaciones externas</w:t>
            </w:r>
          </w:p>
        </w:tc>
        <w:tc>
          <w:tcPr>
            <w:tcW w:type="dxa" w:w="2033"/>
          </w:tcPr>
          <w:p>
            <w:pPr>
              <w:keepLines w:val="1"/>
            </w:pPr>
            <w:r>
              <w:t>Permitir enviar avisos seleccionados por WhatsApp a usuarios con consentimiento, sujeto a evaluación de proveedor/API, plantillas, costos y viabilidad.</w:t>
            </w:r>
          </w:p>
        </w:tc>
        <w:tc>
          <w:tcPr>
            <w:tcW w:type="dxa" w:w="2033"/>
          </w:tcPr>
          <w:p>
            <w:pPr>
              <w:keepLines w:val="1"/>
            </w:pPr>
            <w:r>
              <w:t>Media</w:t>
            </w:r>
          </w:p>
        </w:tc>
        <w:tc>
          <w:tcPr>
            <w:tcW w:type="dxa" w:w="2033"/>
          </w:tcPr>
          <w:p>
            <w:pPr>
              <w:keepLines w:val="1"/>
            </w:pPr>
            <w:r>
              <w:t>Objetivo</w:t>
            </w:r>
          </w:p>
        </w:tc>
      </w:tr>
    </w:tbl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>Estas integraciones complementan las capacidades existentes y no reemplazan la lógica de dominio. CitaJusta/PostgreSQL continúa siendo la fuente de verdad de usuarios, citas, sedes, ofertas y reasignaciones. Los fallos de proveedores externos no deben convertir operaciones de negocio ya persistidas en estados ficticios. HU-043/RF-043 permanece condicionada a una decisión posterior de proveedor, consentimiento, plantillas, costos y viabilidad.</w:t>
      </w:r>
    </w:p>
    <w:p w:rsidR="00000000" w:rsidDel="00000000" w:rsidP="00000000" w:rsidRDefault="00000000" w:rsidRPr="00000000" w14:paraId="00000117">
      <w:pPr>
        <w:pStyle w:val="Heading1"/>
        <w:rPr/>
      </w:pPr>
      <w:r w:rsidDel="00000000" w:rsidR="00000000" w:rsidRPr="00000000">
        <w:rPr>
          <w:rtl w:val="0"/>
        </w:rPr>
        <w:t>11. Requisitos funcionales del MVP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El MVP debe demostrar de extremo a extremo el flujo principal de CitaJusta. Como mínimo debe permitir: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1"/>
          <w:szCs w:val="21"/>
          <w:u w:val="none"/>
          <w:shd w:fill="auto" w:val="clear"/>
          <w:vertAlign w:val="baseline"/>
          <w:rtl w:val="0"/>
        </w:rPr>
        <w:t xml:space="preserve">Configurar una institución, sede, servicio, profesional y disponibilidad.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1"/>
          <w:szCs w:val="21"/>
          <w:u w:val="none"/>
          <w:shd w:fill="auto" w:val="clear"/>
          <w:vertAlign w:val="baseline"/>
          <w:rtl w:val="0"/>
        </w:rPr>
        <w:t xml:space="preserve">Buscar y reservar una cita disponible.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1"/>
          <w:szCs w:val="21"/>
          <w:u w:val="none"/>
          <w:shd w:fill="auto" w:val="clear"/>
          <w:vertAlign w:val="baseline"/>
          <w:rtl w:val="0"/>
        </w:rPr>
        <w:t xml:space="preserve">Ingresar a lista de espera cuando no exista una cita adecuada.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1"/>
          <w:szCs w:val="21"/>
          <w:u w:val="none"/>
          <w:shd w:fill="auto" w:val="clear"/>
          <w:vertAlign w:val="baseline"/>
          <w:rtl w:val="0"/>
        </w:rPr>
        <w:t xml:space="preserve">Cancelar una cita y detectar el cupo liberado.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1"/>
          <w:szCs w:val="21"/>
          <w:u w:val="none"/>
          <w:shd w:fill="auto" w:val="clear"/>
          <w:vertAlign w:val="baseline"/>
          <w:rtl w:val="0"/>
        </w:rPr>
        <w:t xml:space="preserve">Evaluar candidatos y generar una oferta temporal.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1"/>
          <w:szCs w:val="21"/>
          <w:u w:val="none"/>
          <w:shd w:fill="auto" w:val="clear"/>
          <w:vertAlign w:val="baseline"/>
          <w:rtl w:val="0"/>
        </w:rPr>
        <w:t xml:space="preserve">Aceptar, rechazar o expirar una oferta.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1"/>
          <w:szCs w:val="21"/>
          <w:u w:val="none"/>
          <w:shd w:fill="auto" w:val="clear"/>
          <w:vertAlign w:val="baseline"/>
          <w:rtl w:val="0"/>
        </w:rPr>
        <w:t xml:space="preserve">Reasignar el cupo sin producir doble asignación.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1"/>
          <w:szCs w:val="21"/>
          <w:u w:val="none"/>
          <w:shd w:fill="auto" w:val="clear"/>
          <w:vertAlign w:val="baseline"/>
          <w:rtl w:val="0"/>
        </w:rPr>
        <w:t xml:space="preserve">Registrar notificación y trazabilidad del proceso.</w:t>
      </w:r>
    </w:p>
    <w:p w:rsidR="00000000" w:rsidDel="00000000" w:rsidP="00000000" w:rsidRDefault="00000000" w:rsidRPr="00000000" w14:paraId="00000121">
      <w:pPr>
        <w:pStyle w:val="Heading1"/>
        <w:rPr/>
      </w:pPr>
      <w:r w:rsidDel="00000000" w:rsidR="00000000" w:rsidRPr="00000000">
        <w:rPr>
          <w:rtl w:val="0"/>
        </w:rPr>
        <w:t>12. Trazabilidad con Scrum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Cada requisito funcional deberá relacionarse posteriormente con uno o más Product Backlog Items. Durante la ejecución se registrará la relación Requisito -&gt; PBI/HU -&gt; Sprint -&gt; Pull Request -&gt; Prueba -&gt; Evidencia.</w:t>
      </w:r>
    </w:p>
    <w:p w:rsidR="00000000" w:rsidDel="00000000" w:rsidP="00000000" w:rsidRDefault="00000000" w:rsidRPr="00000000" w14:paraId="00000123">
      <w:pPr>
        <w:pStyle w:val="Heading1"/>
        <w:rPr/>
      </w:pPr>
      <w:r w:rsidDel="00000000" w:rsidR="00000000" w:rsidRPr="00000000">
        <w:rPr>
          <w:rtl w:val="0"/>
        </w:rPr>
        <w:t>13. Conclusión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>Los requisitos funcionales establecen el comportamiento esperado de CitaJusta y protegen su propuesta de valor: transformar una cancelación en una nueva oportunidad de atención mediante una lista de espera activa y una reasignación segura y trazable. Las integraciones externas planificadas amplían canales de acceso, comunicación y apoyo al usuario sin desplazar a CitaJusta como fuente de verdad ni debilitar sus controles de autorización.</w:t>
      </w:r>
    </w:p>
    <w:sectPr>
      <w:headerReference r:id="rId8" w:type="default"/>
      <w:footerReference r:id="rId9" w:type="default"/>
      <w:pgSz w:h="15840" w:w="12240" w:orient="portrait"/>
      <w:pgMar w:bottom="936" w:top="1080" w:left="1037" w:right="1037" w:header="216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666666"/>
        <w:sz w:val="16"/>
        <w:szCs w:val="16"/>
        <w:u w:val="none"/>
        <w:shd w:fill="auto" w:val="clear"/>
        <w:vertAlign w:val="baseline"/>
        <w:rtl w:val="0"/>
      </w:rPr>
      <w:t xml:space="preserve">CitaJusta - Proyecto de Título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  <w:rtl w:val="0"/>
      </w:rPr>
      <w:t xml:space="preserve"> · Página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  <w:drawing>
        <wp:inline distB="0" distT="0" distL="114300" distR="114300">
          <wp:extent cx="2057400" cy="460571"/>
          <wp:effectExtent b="0" l="0" r="0" t="0"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057400" cy="460571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>
        <w:spacing w:after="14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240" w:lineRule="auto"/>
    </w:pPr>
    <w:rPr>
      <w:rFonts w:ascii="Arial" w:cs="Arial" w:eastAsia="Arial" w:hAnsi="Arial"/>
      <w:b w:val="1"/>
      <w:bCs w:val="1"/>
      <w:color w:val="000000"/>
      <w:sz w:val="42"/>
      <w:szCs w:val="42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40" w:lineRule="auto"/>
    </w:pPr>
    <w:rPr>
      <w:rFonts w:ascii="Arial" w:cs="Arial" w:eastAsia="Arial" w:hAnsi="Arial"/>
      <w:b w:val="1"/>
      <w:bCs w:val="1"/>
      <w:color w:val="0b2f55"/>
      <w:sz w:val="30"/>
      <w:szCs w:val="30"/>
    </w:rPr>
  </w:style>
  <w:style w:type="paragraph" w:styleId="Heading3">
    <w:name w:val="heading 3"/>
    <w:basedOn w:val="Normal"/>
    <w:next w:val="Normal"/>
    <w:pPr>
      <w:keepNext w:val="1"/>
      <w:keepLines w:val="1"/>
      <w:spacing w:after="120" w:before="240" w:lineRule="auto"/>
    </w:pPr>
    <w:rPr>
      <w:rFonts w:ascii="Arial" w:cs="Arial" w:eastAsia="Arial" w:hAnsi="Arial"/>
      <w:b w:val="1"/>
      <w:bCs w:val="1"/>
      <w:color w:val="0b2f55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120" w:before="0" w:line="240" w:lineRule="auto"/>
    </w:pPr>
    <w:rPr>
      <w:rFonts w:ascii="Arial" w:cs="Arial" w:eastAsia="Arial" w:hAnsi="Arial"/>
      <w:b w:val="1"/>
      <w:bCs w:val="1"/>
      <w:color w:val="000000"/>
      <w:sz w:val="60"/>
      <w:szCs w:val="60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PFbPCr8CSVSzKs74VF7inOr1Rw==">CgMxLjA4AHIhMWxLdlZLaDRrMG1zQ2ZMQmROMTNBb1lQMFFCUmJDYU00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