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625C" w:rsidRDefault="00DB2545">
      <w:pPr>
        <w:spacing w:before="600" w:after="80"/>
      </w:pPr>
      <w:r>
        <w:rPr>
          <w:b/>
          <w:bCs/>
          <w:color w:val="172B50"/>
          <w:sz w:val="52"/>
          <w:szCs w:val="52"/>
        </w:rPr>
        <w:t>CITAJUSTA</w:t>
      </w:r>
    </w:p>
    <w:p w:rsidR="00F7625C" w:rsidRDefault="00DB2545">
      <w:pPr>
        <w:spacing w:after="120"/>
      </w:pPr>
      <w:r>
        <w:rPr>
          <w:sz w:val="48"/>
          <w:szCs w:val="48"/>
        </w:rPr>
        <w:t>Innovación del proyecto</w:t>
      </w:r>
    </w:p>
    <w:p w:rsidR="00F7625C" w:rsidRDefault="00DB2545">
      <w:pPr>
        <w:spacing w:after="360"/>
      </w:pPr>
      <w:r>
        <w:rPr>
          <w:color w:val="008184"/>
          <w:sz w:val="24"/>
          <w:szCs w:val="24"/>
        </w:rPr>
        <w:t>Sección para el Informe Final de la Fase 2 (guía 2.6)</w:t>
      </w:r>
    </w:p>
    <w:p w:rsidR="00F7625C" w:rsidRDefault="00DB2545">
      <w:pPr>
        <w:spacing w:after="100"/>
      </w:pPr>
      <w:r>
        <w:rPr>
          <w:b/>
          <w:bCs/>
          <w:sz w:val="22"/>
          <w:szCs w:val="22"/>
        </w:rPr>
        <w:t>Proyecto de Título · Capstone APT122</w:t>
      </w:r>
    </w:p>
    <w:p w:rsidR="00F7625C" w:rsidRDefault="00DB2545">
      <w:pPr>
        <w:spacing w:after="40"/>
      </w:pPr>
      <w:r>
        <w:rPr>
          <w:sz w:val="22"/>
          <w:szCs w:val="22"/>
        </w:rPr>
        <w:t>Ingeniería en Informática</w:t>
      </w:r>
    </w:p>
    <w:p w:rsidR="00F7625C" w:rsidRDefault="00DB2545">
      <w:pPr>
        <w:spacing w:after="40"/>
      </w:pPr>
      <w:r>
        <w:rPr>
          <w:sz w:val="22"/>
          <w:szCs w:val="22"/>
        </w:rPr>
        <w:t>Sede: Duoc UC Puente Alto</w:t>
      </w:r>
    </w:p>
    <w:p w:rsidR="00F7625C" w:rsidRDefault="00DB2545">
      <w:pPr>
        <w:spacing w:after="40"/>
      </w:pPr>
      <w:r>
        <w:rPr>
          <w:sz w:val="22"/>
          <w:szCs w:val="22"/>
        </w:rPr>
        <w:t>Versión: 1.0</w:t>
      </w:r>
    </w:p>
    <w:p w:rsidR="00F7625C" w:rsidRDefault="00DB2545">
      <w:pPr>
        <w:spacing w:after="40"/>
      </w:pPr>
      <w:r>
        <w:rPr>
          <w:sz w:val="22"/>
          <w:szCs w:val="22"/>
        </w:rPr>
        <w:t>Estado: Entrega Fase 2</w:t>
      </w:r>
    </w:p>
    <w:p w:rsidR="00F7625C" w:rsidRDefault="00DB2545">
      <w:pPr>
        <w:spacing w:after="40"/>
      </w:pPr>
      <w:r>
        <w:rPr>
          <w:sz w:val="22"/>
          <w:szCs w:val="22"/>
        </w:rPr>
        <w:t>Fecha: 17 de octubre de 2026</w:t>
      </w:r>
    </w:p>
    <w:p w:rsidR="00F7625C" w:rsidRDefault="00DB2545">
      <w:pPr>
        <w:spacing w:before="700" w:after="700"/>
        <w:jc w:val="center"/>
      </w:pPr>
      <w:r>
        <w:rPr>
          <w:noProof/>
        </w:rPr>
        <w:drawing>
          <wp:inline distT="0" distB="0" distL="0" distR="0">
            <wp:extent cx="2476500" cy="247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476500"/>
                    </a:xfrm>
                    <a:prstGeom prst="rect">
                      <a:avLst/>
                    </a:prstGeom>
                  </pic:spPr>
                </pic:pic>
              </a:graphicData>
            </a:graphic>
          </wp:inline>
        </w:drawing>
      </w:r>
    </w:p>
    <w:p w:rsidR="00F7625C" w:rsidRDefault="00DB2545">
      <w:pPr>
        <w:spacing w:after="80"/>
      </w:pPr>
      <w:r>
        <w:rPr>
          <w:sz w:val="22"/>
          <w:szCs w:val="22"/>
        </w:rPr>
        <w:t>Integrantes</w:t>
      </w:r>
    </w:p>
    <w:p w:rsidR="00F7625C" w:rsidRDefault="00DB2545">
      <w:pPr>
        <w:pStyle w:val="Prrafodelista"/>
        <w:numPr>
          <w:ilvl w:val="0"/>
          <w:numId w:val="2"/>
        </w:numPr>
      </w:pPr>
      <w:r>
        <w:rPr>
          <w:b/>
          <w:bCs/>
          <w:sz w:val="22"/>
          <w:szCs w:val="22"/>
        </w:rPr>
        <w:t>Matías Andrés Torres</w:t>
      </w:r>
    </w:p>
    <w:p w:rsidR="00F7625C" w:rsidRDefault="00DB2545">
      <w:pPr>
        <w:pStyle w:val="Prrafodelista"/>
        <w:numPr>
          <w:ilvl w:val="0"/>
          <w:numId w:val="2"/>
        </w:numPr>
      </w:pPr>
      <w:r>
        <w:rPr>
          <w:b/>
          <w:bCs/>
          <w:sz w:val="22"/>
          <w:szCs w:val="22"/>
        </w:rPr>
        <w:t>Bastian Sepúlveda</w:t>
      </w:r>
    </w:p>
    <w:p w:rsidR="00F7625C" w:rsidRDefault="00DB2545">
      <w:pPr>
        <w:pStyle w:val="Prrafodelista"/>
        <w:numPr>
          <w:ilvl w:val="0"/>
          <w:numId w:val="2"/>
        </w:numPr>
      </w:pPr>
      <w:r>
        <w:rPr>
          <w:b/>
          <w:bCs/>
          <w:sz w:val="22"/>
          <w:szCs w:val="22"/>
        </w:rPr>
        <w:t>Diego Simón</w:t>
      </w:r>
    </w:p>
    <w:p w:rsidR="00F7625C" w:rsidRDefault="00DB2545">
      <w:pPr>
        <w:pageBreakBefore/>
        <w:spacing w:after="120"/>
      </w:pPr>
      <w:r>
        <w:rPr>
          <w:b/>
          <w:bCs/>
          <w:color w:val="172B50"/>
          <w:sz w:val="24"/>
          <w:szCs w:val="24"/>
        </w:rPr>
        <w:lastRenderedPageBreak/>
        <w:t>Control de versiones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263"/>
        <w:gridCol w:w="1805"/>
        <w:gridCol w:w="5056"/>
      </w:tblGrid>
      <w:tr w:rsidR="00F7625C">
        <w:tblPrEx>
          <w:tblCellMar>
            <w:top w:w="0" w:type="dxa"/>
            <w:bottom w:w="0" w:type="dxa"/>
          </w:tblCellMar>
        </w:tblPrEx>
        <w:trPr>
          <w:cantSplit/>
          <w:tblHeader/>
        </w:trPr>
        <w:tc>
          <w:tcPr>
            <w:tcW w:w="90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Versión</w:t>
            </w:r>
          </w:p>
        </w:tc>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Fecha</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Responsable</w:t>
            </w:r>
          </w:p>
        </w:tc>
        <w:tc>
          <w:tcPr>
            <w:tcW w:w="505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Descripción</w:t>
            </w:r>
          </w:p>
        </w:tc>
      </w:tr>
      <w:tr w:rsidR="00F7625C">
        <w:tblPrEx>
          <w:tblCellMar>
            <w:top w:w="0" w:type="dxa"/>
            <w:bottom w:w="0" w:type="dxa"/>
          </w:tblCellMar>
        </w:tblPrEx>
        <w:trPr>
          <w:cantSplit/>
        </w:trPr>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1.0</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17-10-2026</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Equipo CitaJusta</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Elaboración de la sección de innovación para el Informe Final 2.6, con evidencia técnica verificada al 17-10-2026 y texto listo para incorporar.</w:t>
            </w:r>
          </w:p>
        </w:tc>
      </w:tr>
    </w:tbl>
    <w:p w:rsidR="00F7625C" w:rsidRDefault="00F7625C">
      <w:pPr>
        <w:spacing w:after="240"/>
      </w:pPr>
    </w:p>
    <w:p w:rsidR="00F7625C" w:rsidRDefault="00DB2545">
      <w:pPr>
        <w:spacing w:after="120"/>
      </w:pPr>
      <w:r>
        <w:rPr>
          <w:b/>
          <w:bCs/>
          <w:color w:val="172B50"/>
          <w:sz w:val="24"/>
          <w:szCs w:val="24"/>
        </w:rPr>
        <w:t>Índice</w:t>
      </w:r>
    </w:p>
    <w:sdt>
      <w:sdtPr>
        <w:alias w:val="Índice"/>
        <w:id w:val="1377197077"/>
      </w:sdtPr>
      <w:sdtEndPr/>
      <w:sdtContent>
        <w:p w:rsidR="00FA5488" w:rsidRDefault="00DB2545">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143183" w:history="1">
            <w:r w:rsidR="00FA5488" w:rsidRPr="00460194">
              <w:rPr>
                <w:rStyle w:val="Hipervnculo"/>
                <w:noProof/>
              </w:rPr>
              <w:t>1. Propósito</w:t>
            </w:r>
            <w:r w:rsidR="00FA5488">
              <w:rPr>
                <w:noProof/>
              </w:rPr>
              <w:tab/>
            </w:r>
            <w:r w:rsidR="00FA5488">
              <w:rPr>
                <w:noProof/>
              </w:rPr>
              <w:fldChar w:fldCharType="begin"/>
            </w:r>
            <w:r w:rsidR="00FA5488">
              <w:rPr>
                <w:noProof/>
              </w:rPr>
              <w:instrText xml:space="preserve"> PAGEREF _Toc243143183 \h </w:instrText>
            </w:r>
            <w:r w:rsidR="00FA5488">
              <w:rPr>
                <w:noProof/>
              </w:rPr>
            </w:r>
            <w:r w:rsidR="00FA5488">
              <w:rPr>
                <w:noProof/>
              </w:rPr>
              <w:fldChar w:fldCharType="separate"/>
            </w:r>
            <w:r w:rsidR="00FA5488">
              <w:rPr>
                <w:noProof/>
              </w:rPr>
              <w:t>3</w:t>
            </w:r>
            <w:r w:rsidR="00FA5488">
              <w:rPr>
                <w:noProof/>
              </w:rPr>
              <w:fldChar w:fldCharType="end"/>
            </w:r>
          </w:hyperlink>
        </w:p>
        <w:p w:rsidR="00FA5488" w:rsidRDefault="00FA5488">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84" w:history="1">
            <w:r w:rsidRPr="00460194">
              <w:rPr>
                <w:rStyle w:val="Hipervnculo"/>
                <w:noProof/>
              </w:rPr>
              <w:t>2. En qué consiste la innovación</w:t>
            </w:r>
            <w:r>
              <w:rPr>
                <w:noProof/>
              </w:rPr>
              <w:tab/>
            </w:r>
            <w:r>
              <w:rPr>
                <w:noProof/>
              </w:rPr>
              <w:fldChar w:fldCharType="begin"/>
            </w:r>
            <w:r>
              <w:rPr>
                <w:noProof/>
              </w:rPr>
              <w:instrText xml:space="preserve"> PAGEREF _Toc243143184 \h </w:instrText>
            </w:r>
            <w:r>
              <w:rPr>
                <w:noProof/>
              </w:rPr>
            </w:r>
            <w:r>
              <w:rPr>
                <w:noProof/>
              </w:rPr>
              <w:fldChar w:fldCharType="separate"/>
            </w:r>
            <w:r>
              <w:rPr>
                <w:noProof/>
              </w:rPr>
              <w:t>3</w:t>
            </w:r>
            <w:r>
              <w:rPr>
                <w:noProof/>
              </w:rPr>
              <w:fldChar w:fldCharType="end"/>
            </w:r>
          </w:hyperlink>
        </w:p>
        <w:p w:rsidR="00FA5488" w:rsidRDefault="00FA5488">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85" w:history="1">
            <w:r w:rsidRPr="00460194">
              <w:rPr>
                <w:rStyle w:val="Hipervnculo"/>
                <w:noProof/>
              </w:rPr>
              <w:t>2.1 Lista de espera activa</w:t>
            </w:r>
            <w:r>
              <w:rPr>
                <w:noProof/>
              </w:rPr>
              <w:tab/>
            </w:r>
            <w:r>
              <w:rPr>
                <w:noProof/>
              </w:rPr>
              <w:fldChar w:fldCharType="begin"/>
            </w:r>
            <w:r>
              <w:rPr>
                <w:noProof/>
              </w:rPr>
              <w:instrText xml:space="preserve"> PAGEREF _Toc243143185 \h </w:instrText>
            </w:r>
            <w:r>
              <w:rPr>
                <w:noProof/>
              </w:rPr>
            </w:r>
            <w:r>
              <w:rPr>
                <w:noProof/>
              </w:rPr>
              <w:fldChar w:fldCharType="separate"/>
            </w:r>
            <w:r>
              <w:rPr>
                <w:noProof/>
              </w:rPr>
              <w:t>3</w:t>
            </w:r>
            <w:r>
              <w:rPr>
                <w:noProof/>
              </w:rPr>
              <w:fldChar w:fldCharType="end"/>
            </w:r>
          </w:hyperlink>
        </w:p>
        <w:p w:rsidR="00FA5488" w:rsidRDefault="00FA5488">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86" w:history="1">
            <w:r w:rsidRPr="00460194">
              <w:rPr>
                <w:rStyle w:val="Hipervnculo"/>
                <w:noProof/>
              </w:rPr>
              <w:t>2.2 Ranking explicable y configurable</w:t>
            </w:r>
            <w:r>
              <w:rPr>
                <w:noProof/>
              </w:rPr>
              <w:tab/>
            </w:r>
            <w:r>
              <w:rPr>
                <w:noProof/>
              </w:rPr>
              <w:fldChar w:fldCharType="begin"/>
            </w:r>
            <w:r>
              <w:rPr>
                <w:noProof/>
              </w:rPr>
              <w:instrText xml:space="preserve"> PAGEREF _Toc243143186 \h </w:instrText>
            </w:r>
            <w:r>
              <w:rPr>
                <w:noProof/>
              </w:rPr>
            </w:r>
            <w:r>
              <w:rPr>
                <w:noProof/>
              </w:rPr>
              <w:fldChar w:fldCharType="separate"/>
            </w:r>
            <w:r>
              <w:rPr>
                <w:noProof/>
              </w:rPr>
              <w:t>3</w:t>
            </w:r>
            <w:r>
              <w:rPr>
                <w:noProof/>
              </w:rPr>
              <w:fldChar w:fldCharType="end"/>
            </w:r>
          </w:hyperlink>
        </w:p>
        <w:p w:rsidR="00FA5488" w:rsidRDefault="00FA5488">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87" w:history="1">
            <w:r w:rsidRPr="00460194">
              <w:rPr>
                <w:rStyle w:val="Hipervnculo"/>
                <w:noProof/>
              </w:rPr>
              <w:t>2.3 Integridad demostrada</w:t>
            </w:r>
            <w:r>
              <w:rPr>
                <w:noProof/>
              </w:rPr>
              <w:tab/>
            </w:r>
            <w:r>
              <w:rPr>
                <w:noProof/>
              </w:rPr>
              <w:fldChar w:fldCharType="begin"/>
            </w:r>
            <w:r>
              <w:rPr>
                <w:noProof/>
              </w:rPr>
              <w:instrText xml:space="preserve"> PAGEREF _Toc243143187 \h </w:instrText>
            </w:r>
            <w:r>
              <w:rPr>
                <w:noProof/>
              </w:rPr>
            </w:r>
            <w:r>
              <w:rPr>
                <w:noProof/>
              </w:rPr>
              <w:fldChar w:fldCharType="separate"/>
            </w:r>
            <w:r>
              <w:rPr>
                <w:noProof/>
              </w:rPr>
              <w:t>4</w:t>
            </w:r>
            <w:r>
              <w:rPr>
                <w:noProof/>
              </w:rPr>
              <w:fldChar w:fldCharType="end"/>
            </w:r>
          </w:hyperlink>
        </w:p>
        <w:p w:rsidR="00FA5488" w:rsidRDefault="00FA5488">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88" w:history="1">
            <w:r w:rsidRPr="00460194">
              <w:rPr>
                <w:rStyle w:val="Hipervnculo"/>
                <w:noProof/>
              </w:rPr>
              <w:t>3. Comparación con la gestión tradicional</w:t>
            </w:r>
            <w:r>
              <w:rPr>
                <w:noProof/>
              </w:rPr>
              <w:tab/>
            </w:r>
            <w:r>
              <w:rPr>
                <w:noProof/>
              </w:rPr>
              <w:fldChar w:fldCharType="begin"/>
            </w:r>
            <w:r>
              <w:rPr>
                <w:noProof/>
              </w:rPr>
              <w:instrText xml:space="preserve"> PAGEREF _Toc243143188 \h </w:instrText>
            </w:r>
            <w:r>
              <w:rPr>
                <w:noProof/>
              </w:rPr>
            </w:r>
            <w:r>
              <w:rPr>
                <w:noProof/>
              </w:rPr>
              <w:fldChar w:fldCharType="separate"/>
            </w:r>
            <w:r>
              <w:rPr>
                <w:noProof/>
              </w:rPr>
              <w:t>4</w:t>
            </w:r>
            <w:r>
              <w:rPr>
                <w:noProof/>
              </w:rPr>
              <w:fldChar w:fldCharType="end"/>
            </w:r>
          </w:hyperlink>
        </w:p>
        <w:p w:rsidR="00FA5488" w:rsidRDefault="00FA5488">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89" w:history="1">
            <w:r w:rsidRPr="00460194">
              <w:rPr>
                <w:rStyle w:val="Hipervnculo"/>
                <w:noProof/>
              </w:rPr>
              <w:t>4. Innovación técnica</w:t>
            </w:r>
            <w:r>
              <w:rPr>
                <w:noProof/>
              </w:rPr>
              <w:tab/>
            </w:r>
            <w:r>
              <w:rPr>
                <w:noProof/>
              </w:rPr>
              <w:fldChar w:fldCharType="begin"/>
            </w:r>
            <w:r>
              <w:rPr>
                <w:noProof/>
              </w:rPr>
              <w:instrText xml:space="preserve"> PAGEREF _Toc243143189 \h </w:instrText>
            </w:r>
            <w:r>
              <w:rPr>
                <w:noProof/>
              </w:rPr>
            </w:r>
            <w:r>
              <w:rPr>
                <w:noProof/>
              </w:rPr>
              <w:fldChar w:fldCharType="separate"/>
            </w:r>
            <w:r>
              <w:rPr>
                <w:noProof/>
              </w:rPr>
              <w:t>4</w:t>
            </w:r>
            <w:r>
              <w:rPr>
                <w:noProof/>
              </w:rPr>
              <w:fldChar w:fldCharType="end"/>
            </w:r>
          </w:hyperlink>
        </w:p>
        <w:p w:rsidR="00FA5488" w:rsidRDefault="00FA5488">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90" w:history="1">
            <w:r w:rsidRPr="00460194">
              <w:rPr>
                <w:rStyle w:val="Hipervnculo"/>
                <w:noProof/>
              </w:rPr>
              <w:t>4.1 Integraciones externas</w:t>
            </w:r>
            <w:r>
              <w:rPr>
                <w:noProof/>
              </w:rPr>
              <w:tab/>
            </w:r>
            <w:r>
              <w:rPr>
                <w:noProof/>
              </w:rPr>
              <w:fldChar w:fldCharType="begin"/>
            </w:r>
            <w:r>
              <w:rPr>
                <w:noProof/>
              </w:rPr>
              <w:instrText xml:space="preserve"> PAGEREF _Toc243143190 \h </w:instrText>
            </w:r>
            <w:r>
              <w:rPr>
                <w:noProof/>
              </w:rPr>
            </w:r>
            <w:r>
              <w:rPr>
                <w:noProof/>
              </w:rPr>
              <w:fldChar w:fldCharType="separate"/>
            </w:r>
            <w:r>
              <w:rPr>
                <w:noProof/>
              </w:rPr>
              <w:t>5</w:t>
            </w:r>
            <w:r>
              <w:rPr>
                <w:noProof/>
              </w:rPr>
              <w:fldChar w:fldCharType="end"/>
            </w:r>
          </w:hyperlink>
        </w:p>
        <w:p w:rsidR="00FA5488" w:rsidRDefault="00FA5488">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91" w:history="1">
            <w:r w:rsidRPr="00460194">
              <w:rPr>
                <w:rStyle w:val="Hipervnculo"/>
                <w:noProof/>
              </w:rPr>
              <w:t>5. Aporte de valor por actor</w:t>
            </w:r>
            <w:r>
              <w:rPr>
                <w:noProof/>
              </w:rPr>
              <w:tab/>
            </w:r>
            <w:r>
              <w:rPr>
                <w:noProof/>
              </w:rPr>
              <w:fldChar w:fldCharType="begin"/>
            </w:r>
            <w:r>
              <w:rPr>
                <w:noProof/>
              </w:rPr>
              <w:instrText xml:space="preserve"> PAGEREF _Toc243143191 \h </w:instrText>
            </w:r>
            <w:r>
              <w:rPr>
                <w:noProof/>
              </w:rPr>
            </w:r>
            <w:r>
              <w:rPr>
                <w:noProof/>
              </w:rPr>
              <w:fldChar w:fldCharType="separate"/>
            </w:r>
            <w:r>
              <w:rPr>
                <w:noProof/>
              </w:rPr>
              <w:t>5</w:t>
            </w:r>
            <w:r>
              <w:rPr>
                <w:noProof/>
              </w:rPr>
              <w:fldChar w:fldCharType="end"/>
            </w:r>
          </w:hyperlink>
        </w:p>
        <w:p w:rsidR="00FA5488" w:rsidRDefault="00FA5488">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92" w:history="1">
            <w:r w:rsidRPr="00460194">
              <w:rPr>
                <w:rStyle w:val="Hipervnculo"/>
                <w:noProof/>
              </w:rPr>
              <w:t>6. Impacto esperado e indicadores</w:t>
            </w:r>
            <w:r>
              <w:rPr>
                <w:noProof/>
              </w:rPr>
              <w:tab/>
            </w:r>
            <w:r>
              <w:rPr>
                <w:noProof/>
              </w:rPr>
              <w:fldChar w:fldCharType="begin"/>
            </w:r>
            <w:r>
              <w:rPr>
                <w:noProof/>
              </w:rPr>
              <w:instrText xml:space="preserve"> PAGEREF _Toc243143192 \h </w:instrText>
            </w:r>
            <w:r>
              <w:rPr>
                <w:noProof/>
              </w:rPr>
            </w:r>
            <w:r>
              <w:rPr>
                <w:noProof/>
              </w:rPr>
              <w:fldChar w:fldCharType="separate"/>
            </w:r>
            <w:r>
              <w:rPr>
                <w:noProof/>
              </w:rPr>
              <w:t>6</w:t>
            </w:r>
            <w:r>
              <w:rPr>
                <w:noProof/>
              </w:rPr>
              <w:fldChar w:fldCharType="end"/>
            </w:r>
          </w:hyperlink>
        </w:p>
        <w:p w:rsidR="00FA5488" w:rsidRDefault="00FA5488">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93" w:history="1">
            <w:r w:rsidRPr="00460194">
              <w:rPr>
                <w:rStyle w:val="Hipervnculo"/>
                <w:noProof/>
              </w:rPr>
              <w:t>7. Escalabilidad y proyección</w:t>
            </w:r>
            <w:r>
              <w:rPr>
                <w:noProof/>
              </w:rPr>
              <w:tab/>
            </w:r>
            <w:r>
              <w:rPr>
                <w:noProof/>
              </w:rPr>
              <w:fldChar w:fldCharType="begin"/>
            </w:r>
            <w:r>
              <w:rPr>
                <w:noProof/>
              </w:rPr>
              <w:instrText xml:space="preserve"> PAGEREF _Toc243143193 \h </w:instrText>
            </w:r>
            <w:r>
              <w:rPr>
                <w:noProof/>
              </w:rPr>
            </w:r>
            <w:r>
              <w:rPr>
                <w:noProof/>
              </w:rPr>
              <w:fldChar w:fldCharType="separate"/>
            </w:r>
            <w:r>
              <w:rPr>
                <w:noProof/>
              </w:rPr>
              <w:t>6</w:t>
            </w:r>
            <w:r>
              <w:rPr>
                <w:noProof/>
              </w:rPr>
              <w:fldChar w:fldCharType="end"/>
            </w:r>
          </w:hyperlink>
        </w:p>
        <w:p w:rsidR="00FA5488" w:rsidRDefault="00FA5488">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94" w:history="1">
            <w:r w:rsidRPr="00460194">
              <w:rPr>
                <w:rStyle w:val="Hipervnculo"/>
                <w:noProof/>
              </w:rPr>
              <w:t>8. Limitaciones</w:t>
            </w:r>
            <w:r>
              <w:rPr>
                <w:noProof/>
              </w:rPr>
              <w:tab/>
            </w:r>
            <w:r>
              <w:rPr>
                <w:noProof/>
              </w:rPr>
              <w:fldChar w:fldCharType="begin"/>
            </w:r>
            <w:r>
              <w:rPr>
                <w:noProof/>
              </w:rPr>
              <w:instrText xml:space="preserve"> PAGEREF _Toc243143194 \h </w:instrText>
            </w:r>
            <w:r>
              <w:rPr>
                <w:noProof/>
              </w:rPr>
            </w:r>
            <w:r>
              <w:rPr>
                <w:noProof/>
              </w:rPr>
              <w:fldChar w:fldCharType="separate"/>
            </w:r>
            <w:r>
              <w:rPr>
                <w:noProof/>
              </w:rPr>
              <w:t>6</w:t>
            </w:r>
            <w:r>
              <w:rPr>
                <w:noProof/>
              </w:rPr>
              <w:fldChar w:fldCharType="end"/>
            </w:r>
          </w:hyperlink>
        </w:p>
        <w:p w:rsidR="00FA5488" w:rsidRDefault="00FA5488">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195" w:history="1">
            <w:r w:rsidRPr="00460194">
              <w:rPr>
                <w:rStyle w:val="Hipervnculo"/>
                <w:noProof/>
              </w:rPr>
              <w:t>9. Texto para el Informe Final (guía 2.6)</w:t>
            </w:r>
            <w:r>
              <w:rPr>
                <w:noProof/>
              </w:rPr>
              <w:tab/>
            </w:r>
            <w:r>
              <w:rPr>
                <w:noProof/>
              </w:rPr>
              <w:fldChar w:fldCharType="begin"/>
            </w:r>
            <w:r>
              <w:rPr>
                <w:noProof/>
              </w:rPr>
              <w:instrText xml:space="preserve"> PAGEREF _Toc243143195 \h </w:instrText>
            </w:r>
            <w:r>
              <w:rPr>
                <w:noProof/>
              </w:rPr>
            </w:r>
            <w:r>
              <w:rPr>
                <w:noProof/>
              </w:rPr>
              <w:fldChar w:fldCharType="separate"/>
            </w:r>
            <w:r>
              <w:rPr>
                <w:noProof/>
              </w:rPr>
              <w:t>8</w:t>
            </w:r>
            <w:r>
              <w:rPr>
                <w:noProof/>
              </w:rPr>
              <w:fldChar w:fldCharType="end"/>
            </w:r>
          </w:hyperlink>
        </w:p>
        <w:p w:rsidR="00F7625C" w:rsidRDefault="00DB2545">
          <w:r>
            <w:fldChar w:fldCharType="end"/>
          </w:r>
        </w:p>
      </w:sdtContent>
    </w:sdt>
    <w:p w:rsidR="00F7625C" w:rsidRDefault="00DB2545">
      <w:r>
        <w:br w:type="page"/>
      </w:r>
    </w:p>
    <w:p w:rsidR="00F7625C" w:rsidRDefault="00DB2545">
      <w:pPr>
        <w:pStyle w:val="Ttulo1"/>
      </w:pPr>
      <w:bookmarkStart w:id="0" w:name="_Toc243143183"/>
      <w:r>
        <w:lastRenderedPageBreak/>
        <w:t>1. Propósito</w:t>
      </w:r>
      <w:bookmarkEnd w:id="0"/>
    </w:p>
    <w:p w:rsidR="00F7625C" w:rsidRDefault="00DB2545">
      <w:pPr>
        <w:spacing w:after="120" w:line="288" w:lineRule="auto"/>
        <w:jc w:val="both"/>
      </w:pPr>
      <w:r>
        <w:t xml:space="preserve">Este documento prepara la sección </w:t>
      </w:r>
      <w:r>
        <w:rPr>
          <w:b/>
          <w:bCs/>
        </w:rPr>
        <w:t>Innovación del proyecto</w:t>
      </w:r>
      <w:r>
        <w:t xml:space="preserve"> para el Informe Final de la Fase 2 (guía 2.6). La guía no incluye un campo específico para la innovación; se propone incorporarla como subsección de "Relevancia del proyecto APT" o como apartado propio después de "Desarrollo".</w:t>
      </w:r>
    </w:p>
    <w:p w:rsidR="00F7625C" w:rsidRDefault="00DB2545">
      <w:pPr>
        <w:spacing w:after="120" w:line="288" w:lineRule="auto"/>
        <w:jc w:val="both"/>
      </w:pPr>
      <w:r>
        <w:t>La sección 9 contiene un texto de una página, redactado en párrafos, listo para pegarse en el informe. Las secciones 2 a 8 lo respaldan con el detalle y la evidencia.</w:t>
      </w:r>
    </w:p>
    <w:p w:rsidR="00F7625C" w:rsidRDefault="00DB2545">
      <w:pPr>
        <w:pStyle w:val="Ttulo1"/>
      </w:pPr>
      <w:bookmarkStart w:id="1" w:name="_Toc243143184"/>
      <w:r>
        <w:t>2. En qué consiste la innovación</w:t>
      </w:r>
      <w:bookmarkEnd w:id="1"/>
    </w:p>
    <w:p w:rsidR="00F7625C" w:rsidRDefault="00DB2545">
      <w:pPr>
        <w:spacing w:after="120" w:line="288" w:lineRule="auto"/>
        <w:jc w:val="both"/>
      </w:pPr>
      <w:r>
        <w:t xml:space="preserve">La innovación de CitaJusta no está en permitir reservar una hora, algo que resuelve cualquier agenda digital, sino en </w:t>
      </w:r>
      <w:r>
        <w:rPr>
          <w:b/>
          <w:bCs/>
        </w:rPr>
        <w:t>recuperar automáticamente las horas que se liberan</w:t>
      </w:r>
      <w:r>
        <w:t>. El sistema trata cada cancelación como un evento que activa una lista de espera hasta entonces pasiva y transforma un cupo que se perdería en una oferta concreta para una persona compatible.</w:t>
      </w:r>
    </w:p>
    <w:p w:rsidR="00F7625C" w:rsidRDefault="00DB2545">
      <w:pPr>
        <w:pStyle w:val="Ttulo2"/>
      </w:pPr>
      <w:bookmarkStart w:id="2" w:name="_Toc243143185"/>
      <w:r>
        <w:t>2.1 Lista de espera activa</w:t>
      </w:r>
      <w:bookmarkEnd w:id="2"/>
    </w:p>
    <w:p w:rsidR="00F7625C" w:rsidRDefault="00DB2545">
      <w:pPr>
        <w:spacing w:after="120" w:line="288" w:lineRule="auto"/>
        <w:jc w:val="both"/>
      </w:pPr>
      <w:r>
        <w:t>Cuando una persona cancela un cupo reutilizable, la reasignación se inicia en la misma transacción que registra la cancelación, sin intervención de un funcionario. El motor recorre los siete pasos siguientes: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4874"/>
        <w:gridCol w:w="2708"/>
      </w:tblGrid>
      <w:tr w:rsidR="00F7625C">
        <w:tblPrEx>
          <w:tblCellMar>
            <w:top w:w="0" w:type="dxa"/>
            <w:bottom w:w="0" w:type="dxa"/>
          </w:tblCellMar>
        </w:tblPrEx>
        <w:trPr>
          <w:cantSplit/>
          <w:tblHeader/>
        </w:trPr>
        <w:tc>
          <w:tcPr>
            <w:tcW w:w="144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Paso</w:t>
            </w:r>
          </w:p>
        </w:tc>
        <w:tc>
          <w:tcPr>
            <w:tcW w:w="487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Qué ocurre</w:t>
            </w:r>
          </w:p>
        </w:tc>
        <w:tc>
          <w:tcPr>
            <w:tcW w:w="270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Garantía</w:t>
            </w:r>
          </w:p>
        </w:tc>
      </w:tr>
      <w:tr w:rsidR="00F7625C">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7"/>
                <w:szCs w:val="17"/>
              </w:rPr>
              <w:t>1. Cancelación</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El titular cancela su cita. El cupo pasa de RESERVED a RELEASED (nunca vuelve a AVAILABLE).</w:t>
            </w:r>
          </w:p>
        </w:tc>
        <w:tc>
          <w:tcPr>
            <w:tcW w:w="270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Transacción Serializable, lockVersion, idempotencia.</w:t>
            </w:r>
          </w:p>
        </w:tc>
      </w:tr>
      <w:tr w:rsidR="00F7625C">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7"/>
                <w:szCs w:val="17"/>
              </w:rPr>
              <w:t>2. Inicio automático</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Si el cupo es reutilizable, en la misma transacción se crea el proceso de reasignación (HU-025).</w:t>
            </w:r>
          </w:p>
        </w:tc>
        <w:tc>
          <w:tcPr>
            <w:tcW w:w="270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Un proceso por cancelación (índice único).</w:t>
            </w:r>
          </w:p>
        </w:tc>
      </w:tr>
      <w:tr w:rsidR="00F7625C">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7"/>
                <w:szCs w:val="17"/>
              </w:rPr>
              <w:t>3. Evaluación</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Se evalúan las solicitudes de la lista de espera del mismo servicio: sede, días, rangos horarios, aviso mínimo y fecha límite.</w:t>
            </w:r>
          </w:p>
        </w:tc>
        <w:tc>
          <w:tcPr>
            <w:tcW w:w="270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Elegibles y excluidos persistidos con su motivo.</w:t>
            </w:r>
          </w:p>
        </w:tc>
      </w:tr>
      <w:tr w:rsidR="00F7625C">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7"/>
                <w:szCs w:val="17"/>
              </w:rPr>
              <w:t>4. Ranking</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Orden por la política vigente de la institución: prioridad y antigüedad (o antigüedad y prioridad), con desempate determinista.</w:t>
            </w:r>
          </w:p>
        </w:tc>
        <w:tc>
          <w:tcPr>
            <w:tcW w:w="270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Política versionada e inmutable (HU-018).</w:t>
            </w:r>
          </w:p>
        </w:tc>
      </w:tr>
      <w:tr w:rsidR="00F7625C">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7"/>
                <w:szCs w:val="17"/>
              </w:rPr>
              <w:t>5. Oferta</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Se emite una oferta al primer candidato con un plazo de respuesta (TTL de 1 a 60 minutos).</w:t>
            </w:r>
          </w:p>
        </w:tc>
        <w:tc>
          <w:tcPr>
            <w:tcW w:w="270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Una oferta activa por cupo.</w:t>
            </w:r>
          </w:p>
        </w:tc>
      </w:tr>
      <w:tr w:rsidR="00F7625C">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7"/>
                <w:szCs w:val="17"/>
              </w:rPr>
              <w:t>6. Respuesta</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Aceptación: la misma cita se transfiere al candidato. Rechazo o vencimiento: se continúa con el siguiente (HU-023).</w:t>
            </w:r>
          </w:p>
        </w:tc>
        <w:tc>
          <w:tcPr>
            <w:tcW w:w="270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Nunca se crea una segunda cita para el cupo.</w:t>
            </w:r>
          </w:p>
        </w:tc>
      </w:tr>
      <w:tr w:rsidR="00F7625C">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7"/>
                <w:szCs w:val="17"/>
              </w:rPr>
              <w:t>7. Trazabilidad</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Historial de la cita, auditoría, notificaciones internas y correo; la institución supervisa el proceso en Desktop.</w:t>
            </w:r>
          </w:p>
        </w:tc>
        <w:tc>
          <w:tcPr>
            <w:tcW w:w="270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Snapshots que no se reescriben.</w:t>
            </w:r>
          </w:p>
        </w:tc>
      </w:tr>
    </w:tbl>
    <w:p w:rsidR="00F7625C" w:rsidRDefault="00DB2545">
      <w:pPr>
        <w:pStyle w:val="Ttulo2"/>
      </w:pPr>
      <w:bookmarkStart w:id="3" w:name="_Toc243143186"/>
      <w:r>
        <w:t>2.2 Ranking explicable y configurable</w:t>
      </w:r>
      <w:bookmarkEnd w:id="3"/>
    </w:p>
    <w:p w:rsidR="00F7625C" w:rsidRDefault="00DB2545">
      <w:pPr>
        <w:spacing w:after="120" w:line="288" w:lineRule="auto"/>
        <w:jc w:val="both"/>
      </w:pPr>
      <w:r>
        <w:t xml:space="preserve">CitaJusta prefiere reglas </w:t>
      </w:r>
      <w:r>
        <w:rPr>
          <w:b/>
          <w:bCs/>
        </w:rPr>
        <w:t>deterministas y explicables</w:t>
      </w:r>
      <w:r>
        <w:t xml:space="preserve"> a un puntaje opaco. El Documento Base proponía un puntaje ponderado (antigüedad 30 %, prioridad 25 %, compatibilidad 20 %, entre otros); el equipo optó por elegibilidad por reglas y ordenamiento por prioridad administrativa y antigüedad, porque cada decisión puede justificarse ante la persona afectada y ante un auditor. Para cada proceso se persisten los candidatos evaluados, los excluidos con su motivo, la posición en el ranking y un snapshot de la solicitud. Cada institución elige su estrategia y su plaz</w:t>
      </w:r>
      <w:r>
        <w:t xml:space="preserve">o de respuesta mediante una </w:t>
      </w:r>
      <w:r>
        <w:rPr>
          <w:b/>
          <w:bCs/>
        </w:rPr>
        <w:t>política versionada</w:t>
      </w:r>
      <w:r>
        <w:t>: los cambios generan una versión nueva y no alteran los procesos anteriores.</w:t>
      </w:r>
    </w:p>
    <w:p w:rsidR="00F7625C" w:rsidRDefault="00DB2545">
      <w:pPr>
        <w:pStyle w:val="Ttulo2"/>
      </w:pPr>
      <w:bookmarkStart w:id="4" w:name="_Toc243143187"/>
      <w:r>
        <w:lastRenderedPageBreak/>
        <w:t>2.3 Integridad demostrada</w:t>
      </w:r>
      <w:bookmarkEnd w:id="4"/>
    </w:p>
    <w:p w:rsidR="00F7625C" w:rsidRDefault="00DB2545">
      <w:pPr>
        <w:spacing w:after="120" w:line="288" w:lineRule="auto"/>
        <w:jc w:val="both"/>
      </w:pPr>
      <w:r>
        <w:t>El valor del motor depende de que nunca asigne el mismo cupo a dos personas. La integridad se garantiza en la base de datos (restricción UNIQUE sobre el cupo de la cita, control optimista con lockVersion, índices únicos parciales para ofertas y procesos activos) y en las transacciones Serializable con reintento acotado. Se verificó el 17-10-2026 sobre la configuración Docker preparada para el proyecto (pendiente de integración al repositorio por el responsable del código):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F7625C">
        <w:tblPrEx>
          <w:tblCellMar>
            <w:top w:w="0" w:type="dxa"/>
            <w:bottom w:w="0" w:type="dxa"/>
          </w:tblCellMar>
        </w:tblPrEx>
        <w:trPr>
          <w:cantSplit/>
          <w:tblHeader/>
        </w:trPr>
        <w:tc>
          <w:tcPr>
            <w:tcW w:w="361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Prueba</w:t>
            </w:r>
          </w:p>
        </w:tc>
        <w:tc>
          <w:tcPr>
            <w:tcW w:w="541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Resultado</w:t>
            </w:r>
          </w:p>
        </w:tc>
      </w:tr>
      <w:tr w:rsidR="00F7625C">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8"/>
                <w:szCs w:val="18"/>
              </w:rPr>
              <w:t>10 usuarios distintos reservan el mismo cupo en forma simultánea</w:t>
            </w:r>
          </w:p>
        </w:tc>
        <w:tc>
          <w:tcPr>
            <w:tcW w:w="541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1 reserva confirmada (HTTP 201) y 9 rechazadas por conflicto (HTTP 409); sin doble asignación.</w:t>
            </w:r>
          </w:p>
        </w:tc>
      </w:tr>
      <w:tr w:rsidR="00F7625C">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8"/>
                <w:szCs w:val="18"/>
              </w:rPr>
              <w:t>Flujo principal de extremo a extremo (prueba de humo vía nginx)</w:t>
            </w:r>
          </w:p>
        </w:tc>
        <w:tc>
          <w:tcPr>
            <w:tcW w:w="541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35/35 verificaciones: reserva, lista de espera, cancelación idempotente, oferta automática, aceptación con transferencia de la misma cita y notificaciones.</w:t>
            </w:r>
          </w:p>
        </w:tc>
      </w:tr>
      <w:tr w:rsidR="00F7625C">
        <w:tblPrEx>
          <w:tblCellMar>
            <w:top w:w="0" w:type="dxa"/>
            <w:bottom w:w="0" w:type="dxa"/>
          </w:tblCellMar>
        </w:tblPrEx>
        <w:trPr>
          <w:cantSplit/>
        </w:trPr>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8"/>
                <w:szCs w:val="18"/>
              </w:rPr>
              <w:t>Suites E2E del motor sobre PostgreSQL real (base aislada)</w:t>
            </w:r>
          </w:p>
        </w:tc>
        <w:tc>
          <w:tcPr>
            <w:tcW w:w="541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Reasignaciones 20/20, inicio automático 8/8, expiración 10/10, política 13/13.</w:t>
            </w:r>
          </w:p>
        </w:tc>
      </w:tr>
    </w:tbl>
    <w:p w:rsidR="00F7625C" w:rsidRDefault="00DB2545">
      <w:pPr>
        <w:pStyle w:val="Ttulo1"/>
      </w:pPr>
      <w:bookmarkStart w:id="5" w:name="_Toc243143188"/>
      <w:r>
        <w:t>3. Comparación con la gestión tradicional</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249"/>
        <w:gridCol w:w="3792"/>
      </w:tblGrid>
      <w:tr w:rsidR="00F7625C">
        <w:tblPrEx>
          <w:tblCellMar>
            <w:top w:w="0" w:type="dxa"/>
            <w:bottom w:w="0" w:type="dxa"/>
          </w:tblCellMar>
        </w:tblPrEx>
        <w:trPr>
          <w:cantSplit/>
          <w:tblHeader/>
        </w:trPr>
        <w:tc>
          <w:tcPr>
            <w:tcW w:w="198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Aspecto</w:t>
            </w:r>
          </w:p>
        </w:tc>
        <w:tc>
          <w:tcPr>
            <w:tcW w:w="3249"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Gestión tradicional</w:t>
            </w:r>
          </w:p>
        </w:tc>
        <w:tc>
          <w:tcPr>
            <w:tcW w:w="379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CitaJusta</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8"/>
                <w:szCs w:val="18"/>
              </w:rPr>
              <w:t>Detección del cupo liberado</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Depende de que un funcionario revise la agenda.</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Automática al cancelar; el cupo queda marcado como liberado.</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8"/>
                <w:szCs w:val="18"/>
              </w:rPr>
              <w:t>Búsqueda de reemplazo</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Llamadas, correos o planillas, en orden informal.</w:t>
            </w:r>
          </w:p>
        </w:tc>
        <w:tc>
          <w:tcPr>
            <w:tcW w:w="379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Evaluación de toda la lista de espera con reglas explícitas.</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8"/>
                <w:szCs w:val="18"/>
              </w:rPr>
              <w:t>Criterio de prioridad</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Implícito o a discreción de quien llama.</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Política institucional versionada y explicable.</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8"/>
                <w:szCs w:val="18"/>
              </w:rPr>
              <w:t>Plazo de respuesta</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Indefinido; el cupo puede perderse mientras se espera.</w:t>
            </w:r>
          </w:p>
        </w:tc>
        <w:tc>
          <w:tcPr>
            <w:tcW w:w="379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Oferta con vencimiento y continuación automática.</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8"/>
                <w:szCs w:val="18"/>
              </w:rPr>
              <w:t>Riesgo de doble asignación</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Alto cuando varias personas gestionan la agenda.</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Eliminado por restricciones de base de datos y transacciones.</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8"/>
                <w:szCs w:val="18"/>
              </w:rPr>
              <w:t>Trazabilidad</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Escasa: no queda registro de a quién se ofreció.</w:t>
            </w:r>
          </w:p>
        </w:tc>
        <w:tc>
          <w:tcPr>
            <w:tcW w:w="379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Historial, auditoría y supervisión de cada proceso.</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8"/>
                <w:szCs w:val="18"/>
              </w:rPr>
              <w:t>Medición</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Sin indicadores de recuperación.</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Cupos liberados, recuperados y tasa de recuperación (HU-019).</w:t>
            </w:r>
          </w:p>
        </w:tc>
      </w:tr>
    </w:tbl>
    <w:p w:rsidR="00F7625C" w:rsidRDefault="00DB2545">
      <w:pPr>
        <w:pStyle w:val="Ttulo1"/>
      </w:pPr>
      <w:bookmarkStart w:id="6" w:name="_Toc243143189"/>
      <w:r>
        <w:t>4. Innovación técnica</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3790"/>
        <w:gridCol w:w="3612"/>
      </w:tblGrid>
      <w:tr w:rsidR="00F7625C">
        <w:tblPrEx>
          <w:tblCellMar>
            <w:top w:w="0" w:type="dxa"/>
            <w:bottom w:w="0" w:type="dxa"/>
          </w:tblCellMar>
        </w:tblPrEx>
        <w:trPr>
          <w:cantSplit/>
          <w:tblHeader/>
        </w:trPr>
        <w:tc>
          <w:tcPr>
            <w:tcW w:w="162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Elemento</w:t>
            </w:r>
          </w:p>
        </w:tc>
        <w:tc>
          <w:tcPr>
            <w:tcW w:w="379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Decisión</w:t>
            </w:r>
          </w:p>
        </w:tc>
        <w:tc>
          <w:tcPr>
            <w:tcW w:w="361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Por qué importa</w:t>
            </w:r>
          </w:p>
        </w:tc>
      </w:tr>
      <w:tr w:rsidR="00F7625C">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7"/>
                <w:szCs w:val="17"/>
              </w:rPr>
              <w:t>Arquitectura</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Monolito modular NestJS con 15 módulos de dominio; sin microservicios.</w:t>
            </w:r>
          </w:p>
        </w:tc>
        <w:tc>
          <w:tcPr>
            <w:tcW w:w="36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Reglas críticas en un solo lugar, con transacciones locales y menor complejidad operativa.</w:t>
            </w:r>
          </w:p>
        </w:tc>
      </w:tr>
      <w:tr w:rsidR="00F7625C">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7"/>
                <w:szCs w:val="17"/>
              </w:rPr>
              <w:t>Clientes</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Web (React) y Desktop (Tauri 2) consumen la misma API REST.</w:t>
            </w:r>
          </w:p>
        </w:tc>
        <w:tc>
          <w:tcPr>
            <w:tcW w:w="36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Ninguna regla de negocio se duplica en los clientes; el backend es la autoridad.</w:t>
            </w:r>
          </w:p>
        </w:tc>
      </w:tr>
      <w:tr w:rsidR="00F7625C">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7"/>
                <w:szCs w:val="17"/>
              </w:rPr>
              <w:t>Multi-institución</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RBAC por capacidades con ámbitos global, institución y sede, más AuthorizationContext.</w:t>
            </w:r>
          </w:p>
        </w:tc>
        <w:tc>
          <w:tcPr>
            <w:tcW w:w="36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Una misma instalación puede servir a varias instituciones sin fugas de datos.</w:t>
            </w:r>
          </w:p>
        </w:tc>
      </w:tr>
      <w:tr w:rsidR="00F7625C">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7"/>
                <w:szCs w:val="17"/>
              </w:rPr>
              <w:t>Correo confiable</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Outbox transaccional con lease, token de propietario, clave de idempotencia y reintentos con backoff.</w:t>
            </w:r>
          </w:p>
        </w:tc>
        <w:tc>
          <w:tcPr>
            <w:tcW w:w="36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Una caída del proveedor no revierte una reserva confirmada ni duplica correos.</w:t>
            </w:r>
          </w:p>
        </w:tc>
      </w:tr>
      <w:tr w:rsidR="00F7625C">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7"/>
                <w:szCs w:val="17"/>
              </w:rPr>
              <w:lastRenderedPageBreak/>
              <w:t>Auditoría</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Eventos escritos dentro de la misma transacción del cambio, con 26 códigos de acción.</w:t>
            </w:r>
          </w:p>
        </w:tc>
        <w:tc>
          <w:tcPr>
            <w:tcW w:w="36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Lo que se audita es exactamente lo que ocurrió.</w:t>
            </w:r>
          </w:p>
        </w:tc>
      </w:tr>
      <w:tr w:rsidR="00F7625C">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7"/>
                <w:szCs w:val="17"/>
              </w:rPr>
              <w:t>Reproducibilidad</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Docker Compose con PostgreSQL, API y Web (nginx de mismo origen): configuración Docker preparada y verificada el 17-10-2026, pendiente de integración al repositorio por el responsable del código.</w:t>
            </w:r>
          </w:p>
        </w:tc>
        <w:tc>
          <w:tcPr>
            <w:tcW w:w="36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Una vez integrada, cualquier evaluador podrá levantar el sistema con un comando y datos demo.</w:t>
            </w:r>
          </w:p>
        </w:tc>
      </w:tr>
    </w:tbl>
    <w:p w:rsidR="00F7625C" w:rsidRDefault="00DB2545">
      <w:pPr>
        <w:pStyle w:val="Ttulo2"/>
      </w:pPr>
      <w:bookmarkStart w:id="7" w:name="_Toc243143190"/>
      <w:r>
        <w:t>4.1 Integraciones externas</w:t>
      </w:r>
      <w:bookmarkEnd w:id="7"/>
    </w:p>
    <w:p w:rsidR="00F7625C" w:rsidRDefault="00DB2545">
      <w:pPr>
        <w:spacing w:after="120" w:line="288" w:lineRule="auto"/>
        <w:jc w:val="both"/>
      </w:pPr>
      <w:r>
        <w:t>Las integraciones se implementan como adaptadores: ningún proveedor se convierte en fuente de verdad de citas, permisos o instituciones.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249"/>
        <w:gridCol w:w="3792"/>
      </w:tblGrid>
      <w:tr w:rsidR="00F7625C">
        <w:tblPrEx>
          <w:tblCellMar>
            <w:top w:w="0" w:type="dxa"/>
            <w:bottom w:w="0" w:type="dxa"/>
          </w:tblCellMar>
        </w:tblPrEx>
        <w:trPr>
          <w:cantSplit/>
          <w:tblHeader/>
        </w:trPr>
        <w:tc>
          <w:tcPr>
            <w:tcW w:w="198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Integración</w:t>
            </w:r>
          </w:p>
        </w:tc>
        <w:tc>
          <w:tcPr>
            <w:tcW w:w="3249"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Uso en CitaJusta</w:t>
            </w:r>
          </w:p>
        </w:tc>
        <w:tc>
          <w:tcPr>
            <w:tcW w:w="379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Estado al 17-10-2026</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Resend (correo)</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Correos de reserva, cancelación y ofertas mediante el outbox.</w:t>
            </w:r>
          </w:p>
        </w:tc>
        <w:tc>
          <w:tcPr>
            <w:tcW w:w="3792" w:type="dxa"/>
            <w:tcBorders>
              <w:top w:val="single" w:sz="4" w:space="0" w:color="C5CFD9"/>
              <w:left w:val="single" w:sz="4" w:space="0" w:color="C5CFD9"/>
              <w:bottom w:val="single" w:sz="4" w:space="0" w:color="C5CFD9"/>
              <w:right w:val="single" w:sz="4" w:space="0" w:color="C5CFD9"/>
            </w:tcBorders>
            <w:shd w:val="clear" w:color="auto" w:fill="E7F5EE"/>
            <w:tcMar>
              <w:top w:w="60" w:type="dxa"/>
              <w:left w:w="90" w:type="dxa"/>
              <w:bottom w:w="60" w:type="dxa"/>
              <w:right w:w="90" w:type="dxa"/>
            </w:tcMar>
          </w:tcPr>
          <w:p w:rsidR="00F7625C" w:rsidRDefault="00DB2545">
            <w:pPr>
              <w:spacing w:after="20" w:line="252" w:lineRule="auto"/>
            </w:pPr>
            <w:r>
              <w:rPr>
                <w:b/>
                <w:bCs/>
                <w:color w:val="1E7A4F"/>
                <w:sz w:val="17"/>
                <w:szCs w:val="17"/>
              </w:rPr>
              <w:t>Implementada (HU-039, PR #153); recepción en Gmail validada el 15-10. Plantilla V2 con logo fusionada (PR #173); falta validación visual.</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Google OpenID Connect</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Inicio de sesión adicional, sin otorgar roles ni contexto institucional.</w:t>
            </w:r>
          </w:p>
        </w:tc>
        <w:tc>
          <w:tcPr>
            <w:tcW w:w="3792" w:type="dxa"/>
            <w:tcBorders>
              <w:top w:val="single" w:sz="4" w:space="0" w:color="C5CFD9"/>
              <w:left w:val="single" w:sz="4" w:space="0" w:color="C5CFD9"/>
              <w:bottom w:val="single" w:sz="4" w:space="0" w:color="C5CFD9"/>
              <w:right w:val="single" w:sz="4" w:space="0" w:color="C5CFD9"/>
            </w:tcBorders>
            <w:shd w:val="clear" w:color="auto" w:fill="E7F5EE"/>
            <w:tcMar>
              <w:top w:w="60" w:type="dxa"/>
              <w:left w:w="90" w:type="dxa"/>
              <w:bottom w:w="60" w:type="dxa"/>
              <w:right w:w="90" w:type="dxa"/>
            </w:tcMar>
          </w:tcPr>
          <w:p w:rsidR="00F7625C" w:rsidRDefault="00DB2545">
            <w:pPr>
              <w:spacing w:after="20" w:line="252" w:lineRule="auto"/>
            </w:pPr>
            <w:r>
              <w:rPr>
                <w:b/>
                <w:bCs/>
                <w:color w:val="1E7A4F"/>
                <w:sz w:val="17"/>
                <w:szCs w:val="17"/>
              </w:rPr>
              <w:t>Implementada (HU-040, PR #156); validación manual el 06-10.</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Google Calendar API</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Copia puntual de una cita propia, con consentimiento explícito.</w:t>
            </w:r>
          </w:p>
        </w:tc>
        <w:tc>
          <w:tcPr>
            <w:tcW w:w="3792" w:type="dxa"/>
            <w:tcBorders>
              <w:top w:val="single" w:sz="4" w:space="0" w:color="C5CFD9"/>
              <w:left w:val="single" w:sz="4" w:space="0" w:color="C5CFD9"/>
              <w:bottom w:val="single" w:sz="4" w:space="0" w:color="C5CFD9"/>
              <w:right w:val="single" w:sz="4" w:space="0" w:color="C5CFD9"/>
            </w:tcBorders>
            <w:shd w:val="clear" w:color="auto" w:fill="E7F5EE"/>
            <w:tcMar>
              <w:top w:w="60" w:type="dxa"/>
              <w:left w:w="90" w:type="dxa"/>
              <w:bottom w:w="60" w:type="dxa"/>
              <w:right w:w="90" w:type="dxa"/>
            </w:tcMar>
          </w:tcPr>
          <w:p w:rsidR="00F7625C" w:rsidRDefault="00DB2545">
            <w:pPr>
              <w:spacing w:after="20" w:line="252" w:lineRule="auto"/>
            </w:pPr>
            <w:r>
              <w:rPr>
                <w:b/>
                <w:bCs/>
                <w:color w:val="1E7A4F"/>
                <w:sz w:val="17"/>
                <w:szCs w:val="17"/>
              </w:rPr>
              <w:t>Implementada (HU-041, PR #159); validación manual el 06-10.</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OpenStreetMap + Google Maps URLs</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Mapa de la sede e indicaciones, sin clave de API ni facturación.</w:t>
            </w:r>
          </w:p>
        </w:tc>
        <w:tc>
          <w:tcPr>
            <w:tcW w:w="3792" w:type="dxa"/>
            <w:tcBorders>
              <w:top w:val="single" w:sz="4" w:space="0" w:color="C5CFD9"/>
              <w:left w:val="single" w:sz="4" w:space="0" w:color="C5CFD9"/>
              <w:bottom w:val="single" w:sz="4" w:space="0" w:color="C5CFD9"/>
              <w:right w:val="single" w:sz="4" w:space="0" w:color="C5CFD9"/>
            </w:tcBorders>
            <w:shd w:val="clear" w:color="auto" w:fill="E7F5EE"/>
            <w:tcMar>
              <w:top w:w="60" w:type="dxa"/>
              <w:left w:w="90" w:type="dxa"/>
              <w:bottom w:w="60" w:type="dxa"/>
              <w:right w:w="90" w:type="dxa"/>
            </w:tcMar>
          </w:tcPr>
          <w:p w:rsidR="00F7625C" w:rsidRDefault="00DB2545">
            <w:pPr>
              <w:spacing w:after="20" w:line="252" w:lineRule="auto"/>
            </w:pPr>
            <w:r>
              <w:rPr>
                <w:b/>
                <w:bCs/>
                <w:color w:val="1E7A4F"/>
                <w:sz w:val="17"/>
                <w:szCs w:val="17"/>
              </w:rPr>
              <w:t>Implementada (HU-042, PR #163).</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Nager.Date (feriados de Chile)</w:t>
            </w:r>
          </w:p>
        </w:tc>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Consulta de feriados nacionales y regionales.</w:t>
            </w:r>
          </w:p>
        </w:tc>
        <w:tc>
          <w:tcPr>
            <w:tcW w:w="3792" w:type="dxa"/>
            <w:tcBorders>
              <w:top w:val="single" w:sz="4" w:space="0" w:color="C5CFD9"/>
              <w:left w:val="single" w:sz="4" w:space="0" w:color="C5CFD9"/>
              <w:bottom w:val="single" w:sz="4" w:space="0" w:color="C5CFD9"/>
              <w:right w:val="single" w:sz="4" w:space="0" w:color="C5CFD9"/>
            </w:tcBorders>
            <w:shd w:val="clear" w:color="auto" w:fill="FFF4E0"/>
            <w:tcMar>
              <w:top w:w="60" w:type="dxa"/>
              <w:left w:w="90" w:type="dxa"/>
              <w:bottom w:w="60" w:type="dxa"/>
              <w:right w:w="90" w:type="dxa"/>
            </w:tcMar>
          </w:tcPr>
          <w:p w:rsidR="00F7625C" w:rsidRDefault="00DB2545">
            <w:pPr>
              <w:spacing w:after="20" w:line="252" w:lineRule="auto"/>
            </w:pPr>
            <w:r>
              <w:rPr>
                <w:b/>
                <w:bCs/>
                <w:color w:val="9A5B00"/>
                <w:sz w:val="17"/>
                <w:szCs w:val="17"/>
              </w:rPr>
              <w:t>Adaptador de sólo lectura con consulta por línea de comandos (PR #174); sin endpoint ni importación a la agenda.</w:t>
            </w:r>
          </w:p>
        </w:tc>
      </w:tr>
      <w:tr w:rsidR="00F7625C">
        <w:tblPrEx>
          <w:tblCellMar>
            <w:top w:w="0" w:type="dxa"/>
            <w:bottom w:w="0" w:type="dxa"/>
          </w:tblCellMar>
        </w:tblPrEx>
        <w:trPr>
          <w:cantSplit/>
        </w:trPr>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WhatsApp Cloud API</w:t>
            </w:r>
          </w:p>
        </w:tc>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Notificaciones por mensajería.</w:t>
            </w:r>
          </w:p>
        </w:tc>
        <w:tc>
          <w:tcPr>
            <w:tcW w:w="3792" w:type="dxa"/>
            <w:tcBorders>
              <w:top w:val="single" w:sz="4" w:space="0" w:color="C5CFD9"/>
              <w:left w:val="single" w:sz="4" w:space="0" w:color="C5CFD9"/>
              <w:bottom w:val="single" w:sz="4" w:space="0" w:color="C5CFD9"/>
              <w:right w:val="single" w:sz="4" w:space="0" w:color="C5CFD9"/>
            </w:tcBorders>
            <w:shd w:val="clear" w:color="auto" w:fill="FDECEA"/>
            <w:tcMar>
              <w:top w:w="60" w:type="dxa"/>
              <w:left w:w="90" w:type="dxa"/>
              <w:bottom w:w="60" w:type="dxa"/>
              <w:right w:w="90" w:type="dxa"/>
            </w:tcMar>
          </w:tcPr>
          <w:p w:rsidR="00F7625C" w:rsidRDefault="00DB2545">
            <w:pPr>
              <w:spacing w:after="20" w:line="252" w:lineRule="auto"/>
            </w:pPr>
            <w:r>
              <w:rPr>
                <w:b/>
                <w:bCs/>
                <w:color w:val="B42318"/>
                <w:sz w:val="17"/>
                <w:szCs w:val="17"/>
              </w:rPr>
              <w:t>Excluida del alcance el 15-10-2026 por restricciones empresariales del proveedor.</w:t>
            </w:r>
          </w:p>
        </w:tc>
      </w:tr>
    </w:tbl>
    <w:p w:rsidR="00F7625C" w:rsidRDefault="00F7625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625C">
        <w:tblPrEx>
          <w:tblCellMar>
            <w:top w:w="0" w:type="dxa"/>
            <w:bottom w:w="0" w:type="dxa"/>
          </w:tblCellMar>
        </w:tblPrEx>
        <w:trPr>
          <w:cantSplit/>
        </w:trPr>
        <w:tc>
          <w:tcPr>
            <w:tcW w:w="9026" w:type="dxa"/>
            <w:tcBorders>
              <w:left w:val="single" w:sz="24" w:space="0" w:color="172B50"/>
            </w:tcBorders>
            <w:shd w:val="clear" w:color="auto" w:fill="F3F8FB"/>
            <w:tcMar>
              <w:top w:w="100" w:type="dxa"/>
              <w:left w:w="160" w:type="dxa"/>
              <w:bottom w:w="100" w:type="dxa"/>
              <w:right w:w="160" w:type="dxa"/>
            </w:tcMar>
          </w:tcPr>
          <w:p w:rsidR="00F7625C" w:rsidRDefault="00DB2545">
            <w:pPr>
              <w:spacing w:after="60"/>
            </w:pPr>
            <w:r>
              <w:rPr>
                <w:b/>
                <w:bCs/>
                <w:color w:val="172B50"/>
                <w:sz w:val="20"/>
                <w:szCs w:val="20"/>
              </w:rPr>
              <w:t>Criterio de APIs del Capstone</w:t>
            </w:r>
          </w:p>
          <w:p w:rsidR="00F7625C" w:rsidRDefault="00DB2545">
            <w:pPr>
              <w:spacing w:after="40" w:line="264" w:lineRule="auto"/>
            </w:pPr>
            <w:r>
              <w:rPr>
                <w:sz w:val="19"/>
                <w:szCs w:val="19"/>
              </w:rPr>
              <w:t>La matriz de cumplimiento del proyecto registra como pendiente de confirmación docente el criterio de "5 APIs, al menos 2 propias". CitaJusta cuenta con una API REST propia de 60 endpoints y cinco servicios externos integrados (uno de ellos como adaptador de sólo lectura). La interpretación del criterio debe validarse con el docente.</w:t>
            </w:r>
          </w:p>
        </w:tc>
      </w:tr>
    </w:tbl>
    <w:p w:rsidR="00F7625C" w:rsidRDefault="00DB2545">
      <w:pPr>
        <w:pStyle w:val="Ttulo1"/>
      </w:pPr>
      <w:bookmarkStart w:id="8" w:name="_Toc243143191"/>
      <w:r>
        <w:t>5. Aporte de valor por actor</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F7625C">
        <w:tblPrEx>
          <w:tblCellMar>
            <w:top w:w="0" w:type="dxa"/>
            <w:bottom w:w="0" w:type="dxa"/>
          </w:tblCellMar>
        </w:tblPrEx>
        <w:trPr>
          <w:cantSplit/>
          <w:tblHeader/>
        </w:trPr>
        <w:tc>
          <w:tcPr>
            <w:tcW w:w="234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Actor</w:t>
            </w:r>
          </w:p>
        </w:tc>
        <w:tc>
          <w:tcPr>
            <w:tcW w:w="668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8"/>
                <w:szCs w:val="18"/>
              </w:rPr>
              <w:t>Valor que recibe</w:t>
            </w:r>
          </w:p>
        </w:tc>
      </w:tr>
      <w:tr w:rsidR="00F7625C">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8"/>
                <w:szCs w:val="18"/>
              </w:rPr>
              <w:t>Persona en lista de espera</w:t>
            </w:r>
          </w:p>
        </w:tc>
        <w:tc>
          <w:tcPr>
            <w:tcW w:w="668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Recibe ofertas de cupos que antes se perdían, según preferencias que ella misma declara (días, horarios, sedes), y responde desde la Web.</w:t>
            </w:r>
          </w:p>
        </w:tc>
      </w:tr>
      <w:tr w:rsidR="00F7625C">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8"/>
                <w:szCs w:val="18"/>
              </w:rPr>
              <w:t>Persona que cancela</w:t>
            </w:r>
          </w:p>
        </w:tc>
        <w:tc>
          <w:tcPr>
            <w:tcW w:w="668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Cancela en un paso; su cupo no se pierde para otros y la operación es segura aunque la repita.</w:t>
            </w:r>
          </w:p>
        </w:tc>
      </w:tr>
      <w:tr w:rsidR="00F7625C">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8"/>
                <w:szCs w:val="18"/>
              </w:rPr>
              <w:t>Funcionario / recepcionista</w:t>
            </w:r>
          </w:p>
        </w:tc>
        <w:tc>
          <w:tcPr>
            <w:tcW w:w="668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Deja de llamar a candidatos; consulta la agenda y registra asistencia desde Desktop.</w:t>
            </w:r>
          </w:p>
        </w:tc>
      </w:tr>
      <w:tr w:rsidR="00F7625C">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8"/>
                <w:szCs w:val="18"/>
              </w:rPr>
              <w:t>Administrador institucional</w:t>
            </w:r>
          </w:p>
        </w:tc>
        <w:tc>
          <w:tcPr>
            <w:tcW w:w="668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Configura sedes, servicios, profesionales, disponibilidad y la política de reasignación de su institución.</w:t>
            </w:r>
          </w:p>
        </w:tc>
      </w:tr>
      <w:tr w:rsidR="00F7625C">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b/>
                <w:bCs/>
                <w:sz w:val="18"/>
                <w:szCs w:val="18"/>
              </w:rPr>
              <w:lastRenderedPageBreak/>
              <w:t>Supervisor y auditor</w:t>
            </w:r>
          </w:p>
        </w:tc>
        <w:tc>
          <w:tcPr>
            <w:tcW w:w="668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8"/>
                <w:szCs w:val="18"/>
              </w:rPr>
              <w:t>Revisa candidatos, exclusiones, ofertas y resultados de cada proceso, y la bitácora de auditoría.</w:t>
            </w:r>
          </w:p>
        </w:tc>
      </w:tr>
      <w:tr w:rsidR="00F7625C">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b/>
                <w:bCs/>
                <w:sz w:val="18"/>
                <w:szCs w:val="18"/>
              </w:rPr>
              <w:t>Institución</w:t>
            </w:r>
          </w:p>
        </w:tc>
        <w:tc>
          <w:tcPr>
            <w:tcW w:w="668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8"/>
                <w:szCs w:val="18"/>
              </w:rPr>
              <w:t>Aprovecha mejor la capacidad instalada y obtiene indicadores de cupos liberados y recuperados.</w:t>
            </w:r>
          </w:p>
        </w:tc>
      </w:tr>
    </w:tbl>
    <w:p w:rsidR="00F7625C" w:rsidRDefault="00DB2545">
      <w:pPr>
        <w:pStyle w:val="Ttulo1"/>
      </w:pPr>
      <w:bookmarkStart w:id="9" w:name="_Toc243143192"/>
      <w:r>
        <w:t>6. Impacto esperado e indicadores</w:t>
      </w:r>
      <w:bookmarkEnd w:id="9"/>
    </w:p>
    <w:p w:rsidR="00F7625C" w:rsidRDefault="00DB2545">
      <w:pPr>
        <w:spacing w:after="120" w:line="288" w:lineRule="auto"/>
        <w:jc w:val="both"/>
      </w:pPr>
      <w:r>
        <w:t xml:space="preserve">CitaJusta no se ha implementado en una institución real, por lo que </w:t>
      </w:r>
      <w:r>
        <w:rPr>
          <w:b/>
          <w:bCs/>
        </w:rPr>
        <w:t>no existen cifras medidas de impacto</w:t>
      </w:r>
      <w:r>
        <w:t>. Los efectos siguientes son esperados y se proponen indicadores para comprobarlos en un piloto: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3610"/>
        <w:gridCol w:w="2889"/>
      </w:tblGrid>
      <w:tr w:rsidR="00F7625C">
        <w:tblPrEx>
          <w:tblCellMar>
            <w:top w:w="0" w:type="dxa"/>
            <w:bottom w:w="0" w:type="dxa"/>
          </w:tblCellMar>
        </w:tblPrEx>
        <w:trPr>
          <w:cantSplit/>
          <w:tblHeader/>
        </w:trPr>
        <w:tc>
          <w:tcPr>
            <w:tcW w:w="252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Impacto esperado</w:t>
            </w:r>
          </w:p>
        </w:tc>
        <w:tc>
          <w:tcPr>
            <w:tcW w:w="361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Indicador</w:t>
            </w:r>
          </w:p>
        </w:tc>
        <w:tc>
          <w:tcPr>
            <w:tcW w:w="2889"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rsidR="00F7625C" w:rsidRDefault="00DB2545">
            <w:pPr>
              <w:spacing w:after="20" w:line="252" w:lineRule="auto"/>
            </w:pPr>
            <w:r>
              <w:rPr>
                <w:b/>
                <w:bCs/>
                <w:color w:val="FFFFFF"/>
                <w:sz w:val="17"/>
                <w:szCs w:val="17"/>
              </w:rPr>
              <w:t>Disponibilidad</w:t>
            </w:r>
          </w:p>
        </w:tc>
      </w:tr>
      <w:tr w:rsidR="00F7625C">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Más cupos liberados vuelven a usarse</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Tasa de recuperación = cupos recuperados / cupos liberados</w:t>
            </w:r>
          </w:p>
        </w:tc>
        <w:tc>
          <w:tcPr>
            <w:tcW w:w="2889" w:type="dxa"/>
            <w:tcBorders>
              <w:top w:val="single" w:sz="4" w:space="0" w:color="C5CFD9"/>
              <w:left w:val="single" w:sz="4" w:space="0" w:color="C5CFD9"/>
              <w:bottom w:val="single" w:sz="4" w:space="0" w:color="C5CFD9"/>
              <w:right w:val="single" w:sz="4" w:space="0" w:color="C5CFD9"/>
            </w:tcBorders>
            <w:shd w:val="clear" w:color="auto" w:fill="E7F5EE"/>
            <w:tcMar>
              <w:top w:w="60" w:type="dxa"/>
              <w:left w:w="90" w:type="dxa"/>
              <w:bottom w:w="60" w:type="dxa"/>
              <w:right w:w="90" w:type="dxa"/>
            </w:tcMar>
          </w:tcPr>
          <w:p w:rsidR="00F7625C" w:rsidRDefault="00DB2545">
            <w:pPr>
              <w:spacing w:after="20" w:line="252" w:lineRule="auto"/>
            </w:pPr>
            <w:r>
              <w:rPr>
                <w:b/>
                <w:bCs/>
                <w:color w:val="1E7A4F"/>
                <w:sz w:val="17"/>
                <w:szCs w:val="17"/>
              </w:rPr>
              <w:t>Calculado por el módulo de reportes (HU-019)</w:t>
            </w:r>
          </w:p>
        </w:tc>
      </w:tr>
      <w:tr w:rsidR="00F7625C">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Ofertas efectivas</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Ofertas aceptadas, rechazadas y expiradas por período</w:t>
            </w:r>
          </w:p>
        </w:tc>
        <w:tc>
          <w:tcPr>
            <w:tcW w:w="2889" w:type="dxa"/>
            <w:tcBorders>
              <w:top w:val="single" w:sz="4" w:space="0" w:color="C5CFD9"/>
              <w:left w:val="single" w:sz="4" w:space="0" w:color="C5CFD9"/>
              <w:bottom w:val="single" w:sz="4" w:space="0" w:color="C5CFD9"/>
              <w:right w:val="single" w:sz="4" w:space="0" w:color="C5CFD9"/>
            </w:tcBorders>
            <w:shd w:val="clear" w:color="auto" w:fill="E7F5EE"/>
            <w:tcMar>
              <w:top w:w="60" w:type="dxa"/>
              <w:left w:w="90" w:type="dxa"/>
              <w:bottom w:w="60" w:type="dxa"/>
              <w:right w:w="90" w:type="dxa"/>
            </w:tcMar>
          </w:tcPr>
          <w:p w:rsidR="00F7625C" w:rsidRDefault="00DB2545">
            <w:pPr>
              <w:spacing w:after="20" w:line="252" w:lineRule="auto"/>
            </w:pPr>
            <w:r>
              <w:rPr>
                <w:b/>
                <w:bCs/>
                <w:color w:val="1E7A4F"/>
                <w:sz w:val="17"/>
                <w:szCs w:val="17"/>
              </w:rPr>
              <w:t>Calculado por el módulo de reportes (HU-019)</w:t>
            </w:r>
          </w:p>
        </w:tc>
      </w:tr>
      <w:tr w:rsidR="00F7625C">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Reasignación más rápida</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Tiempo entre la cancelación y la aceptación de la oferta</w:t>
            </w:r>
          </w:p>
        </w:tc>
        <w:tc>
          <w:tcPr>
            <w:tcW w:w="2889" w:type="dxa"/>
            <w:tcBorders>
              <w:top w:val="single" w:sz="4" w:space="0" w:color="C5CFD9"/>
              <w:left w:val="single" w:sz="4" w:space="0" w:color="C5CFD9"/>
              <w:bottom w:val="single" w:sz="4" w:space="0" w:color="C5CFD9"/>
              <w:right w:val="single" w:sz="4" w:space="0" w:color="C5CFD9"/>
            </w:tcBorders>
            <w:shd w:val="clear" w:color="auto" w:fill="FFF4E0"/>
            <w:tcMar>
              <w:top w:w="60" w:type="dxa"/>
              <w:left w:w="90" w:type="dxa"/>
              <w:bottom w:w="60" w:type="dxa"/>
              <w:right w:w="90" w:type="dxa"/>
            </w:tcMar>
          </w:tcPr>
          <w:p w:rsidR="00F7625C" w:rsidRDefault="00DB2545">
            <w:pPr>
              <w:spacing w:after="20" w:line="252" w:lineRule="auto"/>
            </w:pPr>
            <w:r>
              <w:rPr>
                <w:b/>
                <w:bCs/>
                <w:color w:val="9A5B00"/>
                <w:sz w:val="17"/>
                <w:szCs w:val="17"/>
              </w:rPr>
              <w:t>Datos persistidos; indicador por implementar</w:t>
            </w:r>
          </w:p>
        </w:tc>
      </w:tr>
      <w:tr w:rsidR="00F7625C">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Menor espera de las personas</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Días promedio en lista de espera hasta su cumplimiento</w:t>
            </w:r>
          </w:p>
        </w:tc>
        <w:tc>
          <w:tcPr>
            <w:tcW w:w="2889" w:type="dxa"/>
            <w:tcBorders>
              <w:top w:val="single" w:sz="4" w:space="0" w:color="C5CFD9"/>
              <w:left w:val="single" w:sz="4" w:space="0" w:color="C5CFD9"/>
              <w:bottom w:val="single" w:sz="4" w:space="0" w:color="C5CFD9"/>
              <w:right w:val="single" w:sz="4" w:space="0" w:color="C5CFD9"/>
            </w:tcBorders>
            <w:shd w:val="clear" w:color="auto" w:fill="FFF4E0"/>
            <w:tcMar>
              <w:top w:w="60" w:type="dxa"/>
              <w:left w:w="90" w:type="dxa"/>
              <w:bottom w:w="60" w:type="dxa"/>
              <w:right w:w="90" w:type="dxa"/>
            </w:tcMar>
          </w:tcPr>
          <w:p w:rsidR="00F7625C" w:rsidRDefault="00DB2545">
            <w:pPr>
              <w:spacing w:after="20" w:line="252" w:lineRule="auto"/>
            </w:pPr>
            <w:r>
              <w:rPr>
                <w:b/>
                <w:bCs/>
                <w:color w:val="9A5B00"/>
                <w:sz w:val="17"/>
                <w:szCs w:val="17"/>
              </w:rPr>
              <w:t>Datos persistidos; indicador por implementar</w:t>
            </w:r>
          </w:p>
        </w:tc>
      </w:tr>
      <w:tr w:rsidR="00F7625C">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Menor carga administrativa</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rsidR="00F7625C" w:rsidRDefault="00DB2545">
            <w:pPr>
              <w:spacing w:after="20" w:line="252" w:lineRule="auto"/>
            </w:pPr>
            <w:r>
              <w:rPr>
                <w:sz w:val="17"/>
                <w:szCs w:val="17"/>
              </w:rPr>
              <w:t>Horas de gestión manual evitadas</w:t>
            </w:r>
          </w:p>
        </w:tc>
        <w:tc>
          <w:tcPr>
            <w:tcW w:w="2889" w:type="dxa"/>
            <w:tcBorders>
              <w:top w:val="single" w:sz="4" w:space="0" w:color="C5CFD9"/>
              <w:left w:val="single" w:sz="4" w:space="0" w:color="C5CFD9"/>
              <w:bottom w:val="single" w:sz="4" w:space="0" w:color="C5CFD9"/>
              <w:right w:val="single" w:sz="4" w:space="0" w:color="C5CFD9"/>
            </w:tcBorders>
            <w:shd w:val="clear" w:color="auto" w:fill="FDECEA"/>
            <w:tcMar>
              <w:top w:w="60" w:type="dxa"/>
              <w:left w:w="90" w:type="dxa"/>
              <w:bottom w:w="60" w:type="dxa"/>
              <w:right w:w="90" w:type="dxa"/>
            </w:tcMar>
          </w:tcPr>
          <w:p w:rsidR="00F7625C" w:rsidRDefault="00DB2545">
            <w:pPr>
              <w:spacing w:after="20" w:line="252" w:lineRule="auto"/>
            </w:pPr>
            <w:r>
              <w:rPr>
                <w:b/>
                <w:bCs/>
                <w:color w:val="B42318"/>
                <w:sz w:val="17"/>
                <w:szCs w:val="17"/>
              </w:rPr>
              <w:t>Requiere medición en terreno</w:t>
            </w:r>
          </w:p>
        </w:tc>
      </w:tr>
      <w:tr w:rsidR="00F7625C">
        <w:tblPrEx>
          <w:tblCellMar>
            <w:top w:w="0" w:type="dxa"/>
            <w:bottom w:w="0" w:type="dxa"/>
          </w:tblCellMar>
        </w:tblPrEx>
        <w:trPr>
          <w:cantSplit/>
        </w:trPr>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Menos inasistencias sin gestionar</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rsidR="00F7625C" w:rsidRDefault="00DB2545">
            <w:pPr>
              <w:spacing w:after="20" w:line="252" w:lineRule="auto"/>
            </w:pPr>
            <w:r>
              <w:rPr>
                <w:sz w:val="17"/>
                <w:szCs w:val="17"/>
              </w:rPr>
              <w:t>Inasistencias registradas por período y servicio</w:t>
            </w:r>
          </w:p>
        </w:tc>
        <w:tc>
          <w:tcPr>
            <w:tcW w:w="2889" w:type="dxa"/>
            <w:tcBorders>
              <w:top w:val="single" w:sz="4" w:space="0" w:color="C5CFD9"/>
              <w:left w:val="single" w:sz="4" w:space="0" w:color="C5CFD9"/>
              <w:bottom w:val="single" w:sz="4" w:space="0" w:color="C5CFD9"/>
              <w:right w:val="single" w:sz="4" w:space="0" w:color="C5CFD9"/>
            </w:tcBorders>
            <w:shd w:val="clear" w:color="auto" w:fill="E7F5EE"/>
            <w:tcMar>
              <w:top w:w="60" w:type="dxa"/>
              <w:left w:w="90" w:type="dxa"/>
              <w:bottom w:w="60" w:type="dxa"/>
              <w:right w:w="90" w:type="dxa"/>
            </w:tcMar>
          </w:tcPr>
          <w:p w:rsidR="00F7625C" w:rsidRDefault="00DB2545">
            <w:pPr>
              <w:spacing w:after="20" w:line="252" w:lineRule="auto"/>
            </w:pPr>
            <w:r>
              <w:rPr>
                <w:b/>
                <w:bCs/>
                <w:color w:val="1E7A4F"/>
                <w:sz w:val="17"/>
                <w:szCs w:val="17"/>
              </w:rPr>
              <w:t>Calculado por el módulo de reportes (HU-019)</w:t>
            </w:r>
          </w:p>
        </w:tc>
      </w:tr>
    </w:tbl>
    <w:p w:rsidR="00F7625C" w:rsidRDefault="00DB2545">
      <w:pPr>
        <w:pStyle w:val="Ttulo1"/>
      </w:pPr>
      <w:bookmarkStart w:id="10" w:name="_Toc243143193"/>
      <w:r>
        <w:t>7. Escalabilidad y proyección</w:t>
      </w:r>
      <w:bookmarkEnd w:id="10"/>
    </w:p>
    <w:p w:rsidR="00F7625C" w:rsidRDefault="00DB2545">
      <w:pPr>
        <w:pStyle w:val="Prrafodelista"/>
        <w:numPr>
          <w:ilvl w:val="0"/>
          <w:numId w:val="2"/>
        </w:numPr>
        <w:spacing w:after="60" w:line="276" w:lineRule="auto"/>
      </w:pPr>
      <w:r>
        <w:rPr>
          <w:b/>
          <w:bCs/>
        </w:rPr>
        <w:t>Varias instituciones en una instalación:</w:t>
      </w:r>
      <w:r>
        <w:t xml:space="preserve"> el modelo multi-institución y el aislamiento por tenant ya están implementados.</w:t>
      </w:r>
    </w:p>
    <w:p w:rsidR="00F7625C" w:rsidRDefault="00DB2545">
      <w:pPr>
        <w:pStyle w:val="Prrafodelista"/>
        <w:numPr>
          <w:ilvl w:val="0"/>
          <w:numId w:val="2"/>
        </w:numPr>
        <w:spacing w:after="60" w:line="276" w:lineRule="auto"/>
      </w:pPr>
      <w:r>
        <w:rPr>
          <w:b/>
          <w:bCs/>
        </w:rPr>
        <w:t>Escalamiento horizontal de la API:</w:t>
      </w:r>
      <w:r>
        <w:t xml:space="preserve"> la API no guarda estado de sesión en memoria y PostgreSQL arbitra la concurrencia; el proceso de expiración de ofertas está diseñado para convivir con varias instancias.</w:t>
      </w:r>
    </w:p>
    <w:p w:rsidR="00F7625C" w:rsidRDefault="00DB2545">
      <w:pPr>
        <w:pStyle w:val="Prrafodelista"/>
        <w:numPr>
          <w:ilvl w:val="0"/>
          <w:numId w:val="2"/>
        </w:numPr>
        <w:spacing w:after="60" w:line="276" w:lineRule="auto"/>
      </w:pPr>
      <w:r>
        <w:rPr>
          <w:b/>
          <w:bCs/>
        </w:rPr>
        <w:t>Despliegue:</w:t>
      </w:r>
      <w:r>
        <w:t xml:space="preserve"> la configuración Docker preparada y verificada el 17-10-2026, pendiente de integración al repositorio por el responsable del código, permitirá llevar el sistema a cualquier proveedor de contenedores sin cambiar el código.</w:t>
      </w:r>
    </w:p>
    <w:p w:rsidR="00F7625C" w:rsidRDefault="00DB2545">
      <w:pPr>
        <w:pStyle w:val="Prrafodelista"/>
        <w:numPr>
          <w:ilvl w:val="0"/>
          <w:numId w:val="2"/>
        </w:numPr>
        <w:spacing w:after="60" w:line="276" w:lineRule="auto"/>
      </w:pPr>
      <w:r>
        <w:rPr>
          <w:b/>
          <w:bCs/>
        </w:rPr>
        <w:t>Nuevos canales:</w:t>
      </w:r>
      <w:r>
        <w:t xml:space="preserve"> el patrón outbox del correo puede reutilizarse para notificaciones móviles o SMS con un proveedor viable.</w:t>
      </w:r>
    </w:p>
    <w:p w:rsidR="00F7625C" w:rsidRDefault="00DB2545">
      <w:pPr>
        <w:pStyle w:val="Prrafodelista"/>
        <w:numPr>
          <w:ilvl w:val="0"/>
          <w:numId w:val="2"/>
        </w:numPr>
        <w:spacing w:after="60" w:line="276" w:lineRule="auto"/>
      </w:pPr>
      <w:r>
        <w:rPr>
          <w:b/>
          <w:bCs/>
        </w:rPr>
        <w:t>Evolución futura:</w:t>
      </w:r>
      <w:r>
        <w:t xml:space="preserve"> importación de feriados a la agenda, indicadores de tiempos, publicación OpenAPI para sistemas institucionales y, a más largo plazo, modelos predictivos de inasistencia (fuera del alcance académico).</w:t>
      </w:r>
    </w:p>
    <w:p w:rsidR="00F7625C" w:rsidRDefault="00DB2545">
      <w:pPr>
        <w:pStyle w:val="Ttulo1"/>
      </w:pPr>
      <w:bookmarkStart w:id="11" w:name="_Toc243143194"/>
      <w:r>
        <w:t>8. Limitaciones</w:t>
      </w:r>
      <w:bookmarkEnd w:id="11"/>
    </w:p>
    <w:p w:rsidR="00F7625C" w:rsidRDefault="00DB2545">
      <w:pPr>
        <w:pStyle w:val="Prrafodelista"/>
        <w:numPr>
          <w:ilvl w:val="0"/>
          <w:numId w:val="2"/>
        </w:numPr>
        <w:spacing w:after="60" w:line="276" w:lineRule="auto"/>
      </w:pPr>
      <w:r>
        <w:t>Sin piloto en una institución real: el impacto es esperado, no medido.</w:t>
      </w:r>
    </w:p>
    <w:p w:rsidR="00F7625C" w:rsidRDefault="00DB2545">
      <w:pPr>
        <w:pStyle w:val="Prrafodelista"/>
        <w:numPr>
          <w:ilvl w:val="0"/>
          <w:numId w:val="2"/>
        </w:numPr>
        <w:spacing w:after="60" w:line="276" w:lineRule="auto"/>
      </w:pPr>
      <w:r>
        <w:t>Endurecimiento pendiente en la API (CORS explícito, rate limiting y cabeceras de seguridad) y 9 vulnerabilidades reportadas por npm audit en dependencias de producción.</w:t>
      </w:r>
    </w:p>
    <w:p w:rsidR="00F7625C" w:rsidRDefault="00DB2545">
      <w:pPr>
        <w:pStyle w:val="Prrafodelista"/>
        <w:numPr>
          <w:ilvl w:val="0"/>
          <w:numId w:val="2"/>
        </w:numPr>
        <w:spacing w:after="60" w:line="276" w:lineRule="auto"/>
      </w:pPr>
      <w:r>
        <w:lastRenderedPageBreak/>
        <w:t>Sin integración continua que ejecute pruebas en cada cambio.</w:t>
      </w:r>
    </w:p>
    <w:p w:rsidR="00F7625C" w:rsidRDefault="00DB2545">
      <w:pPr>
        <w:pStyle w:val="Prrafodelista"/>
        <w:numPr>
          <w:ilvl w:val="0"/>
          <w:numId w:val="2"/>
        </w:numPr>
        <w:spacing w:after="60" w:line="276" w:lineRule="auto"/>
      </w:pPr>
      <w:r>
        <w:t>El ranking no considera aún el historial de asistencia ni la preferencia por un profesional específico (una solicitud que exige profesional se excluye con motivo explícito).</w:t>
      </w:r>
    </w:p>
    <w:p w:rsidR="00F7625C" w:rsidRDefault="00DB2545">
      <w:pPr>
        <w:pStyle w:val="Prrafodelista"/>
        <w:numPr>
          <w:ilvl w:val="0"/>
          <w:numId w:val="2"/>
        </w:numPr>
        <w:spacing w:after="60" w:line="276" w:lineRule="auto"/>
      </w:pPr>
      <w:r>
        <w:t>La aplicación Desktop no tiene política CSP configurada y su permiso HTTP apunta a la API local.</w:t>
      </w:r>
    </w:p>
    <w:p w:rsidR="00F7625C" w:rsidRDefault="00DB2545">
      <w:pPr>
        <w:pStyle w:val="Prrafodelista"/>
        <w:numPr>
          <w:ilvl w:val="0"/>
          <w:numId w:val="2"/>
        </w:numPr>
        <w:spacing w:after="60" w:line="276" w:lineRule="auto"/>
      </w:pPr>
      <w:r>
        <w:t>WhatsApp quedó fuera del alcance; el correo es el único canal externo de notificación.</w:t>
      </w:r>
    </w:p>
    <w:p w:rsidR="00F7625C" w:rsidRDefault="00DB2545">
      <w:pPr>
        <w:pStyle w:val="Ttulo1"/>
        <w:pageBreakBefore/>
      </w:pPr>
      <w:bookmarkStart w:id="12" w:name="_Toc243143195"/>
      <w:r>
        <w:lastRenderedPageBreak/>
        <w:t>9. Texto para el Informe Final (guía 2.6)</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625C">
        <w:tblPrEx>
          <w:tblCellMar>
            <w:top w:w="0" w:type="dxa"/>
            <w:bottom w:w="0" w:type="dxa"/>
          </w:tblCellMar>
        </w:tblPrEx>
        <w:trPr>
          <w:cantSplit/>
        </w:trPr>
        <w:tc>
          <w:tcPr>
            <w:tcW w:w="9026" w:type="dxa"/>
            <w:tcBorders>
              <w:left w:val="single" w:sz="24" w:space="0" w:color="172B50"/>
            </w:tcBorders>
            <w:shd w:val="clear" w:color="auto" w:fill="F3F8FB"/>
            <w:tcMar>
              <w:top w:w="100" w:type="dxa"/>
              <w:left w:w="160" w:type="dxa"/>
              <w:bottom w:w="100" w:type="dxa"/>
              <w:right w:w="160" w:type="dxa"/>
            </w:tcMar>
          </w:tcPr>
          <w:p w:rsidR="00F7625C" w:rsidRDefault="00DB2545">
            <w:pPr>
              <w:spacing w:after="40" w:line="264" w:lineRule="auto"/>
            </w:pPr>
            <w:r>
              <w:rPr>
                <w:sz w:val="19"/>
                <w:szCs w:val="19"/>
              </w:rPr>
              <w:t xml:space="preserve">Texto sugerido para la subsección </w:t>
            </w:r>
            <w:r>
              <w:rPr>
                <w:b/>
                <w:bCs/>
                <w:sz w:val="19"/>
                <w:szCs w:val="19"/>
              </w:rPr>
              <w:t>Innovación del proyecto</w:t>
            </w:r>
            <w:r>
              <w:rPr>
                <w:sz w:val="19"/>
                <w:szCs w:val="19"/>
              </w:rPr>
              <w:t>. Puede pegarse tal cual o ajustarse a la extensión que indique el docente.</w:t>
            </w:r>
          </w:p>
        </w:tc>
      </w:tr>
    </w:tbl>
    <w:p w:rsidR="00F7625C" w:rsidRDefault="00F7625C">
      <w:pPr>
        <w:spacing w:after="80"/>
      </w:pPr>
    </w:p>
    <w:p w:rsidR="00F7625C" w:rsidRDefault="00DB2545">
      <w:pPr>
        <w:spacing w:after="120" w:line="288" w:lineRule="auto"/>
        <w:jc w:val="both"/>
      </w:pPr>
      <w:r>
        <w:t>La innovación de CitaJusta no reside en permitir la reserva de horas, función que ya ofrece cualquier agenda digital, sino en recuperar de manera automática los cupos que se liberan por cancelaciones. En la gestión tradicional, una hora cancelada sólo se reutiliza si un funcionario detecta el espacio y contacta a otra persona por teléfono, correo o planilla, sin un criterio de prioridad explícito ni registro de las gestiones. CitaJusta convierte cada cancelación en un evento: la plataforma marca el cupo com</w:t>
      </w:r>
      <w:r>
        <w:t>o liberado, evalúa la lista de espera del servicio según las preferencias declaradas por cada persona (sede, días y rangos horarios) y las reglas de la institución, y emite una oferta con plazo de respuesta al candidato mejor posicionado. Si la oferta es rechazada o vence, el proceso continúa con el siguiente candidato; si es aceptada, la misma cita se transfiere a la nueva persona.</w:t>
      </w:r>
    </w:p>
    <w:p w:rsidR="00F7625C" w:rsidRDefault="00DB2545">
      <w:pPr>
        <w:spacing w:after="120" w:line="288" w:lineRule="auto"/>
        <w:jc w:val="both"/>
      </w:pPr>
      <w:r>
        <w:t>Una decisión de diseño central fue privilegiar reglas deterministas y explicables por sobre un puntaje opaco. Cada institución define una política de reasignación versionada, que establece el orden por prioridad administrativa y antigüedad en la lista y el plazo de respuesta de las ofertas. Para cada proceso se registran los candidatos evaluados, los excluidos con su motivo y la posición en el ranking, lo que permite justificar cada asignación ante la persona afectada y ante un auditor. La institución super</w:t>
      </w:r>
      <w:r>
        <w:t>visa estos procesos, sus indicadores y la bitácora de auditoría desde la aplicación de escritorio.</w:t>
      </w:r>
    </w:p>
    <w:p w:rsidR="00F7625C" w:rsidRDefault="00DB2545">
      <w:pPr>
        <w:spacing w:after="120" w:line="288" w:lineRule="auto"/>
        <w:jc w:val="both"/>
      </w:pPr>
      <w:r>
        <w:t>El valor del motor depende de que un mismo cupo nunca se asigne a dos personas. Por ello, la integridad se resolvió en la base de datos y no en la interfaz: una restricción de unicidad sobre el cupo de cada cita, control optimista de versiones y transacciones de aislamiento serializable. En la verificación del 17 de octubre de 2026, diez usuarios intentaron reservar simultáneamente el mismo cupo y sólo una reserva fue confirmada, mientras las nueve restantes recibieron un conflicto controlado. La prueba del</w:t>
      </w:r>
      <w:r>
        <w:t xml:space="preserve"> flujo completo (reserva, lista de espera, cancelación, oferta automática y aceptación) aprobó sus 35 verificaciones sobre la configuración Docker preparada para el proyecto, cuya integración al repositorio está pendiente.</w:t>
      </w:r>
    </w:p>
    <w:p w:rsidR="00F7625C" w:rsidRDefault="00DB2545">
      <w:pPr>
        <w:spacing w:after="120" w:line="288" w:lineRule="auto"/>
        <w:jc w:val="both"/>
      </w:pPr>
      <w:r>
        <w:t>En lo técnico, la solución combina un backend NestJS modular que concentra todas las reglas de negocio, aplicaciones Web y de escritorio que consumen la misma API, control de acceso por roles con aislamiento entre instituciones y sedes, y un mecanismo de envío de correos con reintentos e idempotencia que impide que una falla del proveedor revierta una reserva o duplique mensajes. Se integraron servicios externos de correo (Resend), autenticación con Google, copia de citas a Google Calendar, mapas de sedes c</w:t>
      </w:r>
      <w:r>
        <w:t>on OpenStreetMap y consulta de feriados de Chile (Nager.Date), siempre como adaptadores que no reemplazan a CitaJusta como fuente de verdad.</w:t>
      </w:r>
    </w:p>
    <w:p w:rsidR="00F7625C" w:rsidRDefault="00DB2545">
      <w:pPr>
        <w:spacing w:after="120" w:line="288" w:lineRule="auto"/>
        <w:jc w:val="both"/>
      </w:pPr>
      <w:r>
        <w:t>El impacto esperado es aumentar la proporción de cupos liberados que vuelven a utilizarse, reducir el trabajo administrativo de reasignación y acortar la espera de las personas. Como el proyecto no ha sido implementado en una institución real, estos efectos no se han medido; la plataforma ya calcula los indicadores necesarios para evaluarlos en un piloto, como la tasa de recuperación de cupos y el resultado de las ofertas emitidas.</w:t>
      </w:r>
    </w:p>
    <w:sectPr w:rsidR="00F7625C">
      <w:headerReference w:type="default" r:id="rId8"/>
      <w:footerReference w:type="default" r:id="rId9"/>
      <w:pgSz w:w="11906" w:h="16838"/>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2545" w:rsidRDefault="00DB2545">
      <w:r>
        <w:separator/>
      </w:r>
    </w:p>
  </w:endnote>
  <w:endnote w:type="continuationSeparator" w:id="0">
    <w:p w:rsidR="00DB2545" w:rsidRDefault="00DB2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625C" w:rsidRDefault="00DB2545">
    <w:pPr>
      <w:pBdr>
        <w:top w:val="single" w:sz="4" w:space="4" w:color="C5CFD9"/>
      </w:pBdr>
    </w:pPr>
    <w:r>
      <w:rPr>
        <w:color w:val="5B6573"/>
        <w:sz w:val="16"/>
        <w:szCs w:val="16"/>
      </w:rPr>
      <w:t>CitaJusta · Innovación del proyecto</w:t>
    </w:r>
    <w:r>
      <w:rPr>
        <w:color w:val="5B6573"/>
        <w:sz w:val="16"/>
        <w:szCs w:val="16"/>
      </w:rPr>
      <w:ptab w:relativeTo="margin" w:alignment="right" w:leader="none"/>
    </w:r>
    <w:r>
      <w:rPr>
        <w:color w:val="5B6573"/>
        <w:sz w:val="16"/>
        <w:szCs w:val="16"/>
      </w:rPr>
      <w:t xml:space="preserve">Página </w:t>
    </w:r>
    <w:r>
      <w:rPr>
        <w:color w:val="5B6573"/>
        <w:sz w:val="16"/>
        <w:szCs w:val="16"/>
      </w:rPr>
      <w:fldChar w:fldCharType="begin"/>
    </w:r>
    <w:r>
      <w:rPr>
        <w:color w:val="5B6573"/>
        <w:sz w:val="16"/>
        <w:szCs w:val="16"/>
      </w:rPr>
      <w:instrText>PAGE</w:instrText>
    </w:r>
    <w:r>
      <w:rPr>
        <w:color w:val="5B6573"/>
        <w:sz w:val="16"/>
        <w:szCs w:val="16"/>
      </w:rPr>
      <w:fldChar w:fldCharType="separate"/>
    </w:r>
    <w:r w:rsidR="00FA5488">
      <w:rPr>
        <w:noProof/>
        <w:color w:val="5B6573"/>
        <w:sz w:val="16"/>
        <w:szCs w:val="16"/>
      </w:rPr>
      <w:t>1</w:t>
    </w:r>
    <w:r>
      <w:rPr>
        <w:color w:val="5B6573"/>
        <w:sz w:val="16"/>
        <w:szCs w:val="16"/>
      </w:rPr>
      <w:fldChar w:fldCharType="end"/>
    </w:r>
    <w:r>
      <w:rPr>
        <w:color w:val="5B6573"/>
        <w:sz w:val="16"/>
        <w:szCs w:val="16"/>
      </w:rPr>
      <w:t xml:space="preserve"> de </w:t>
    </w:r>
    <w:r>
      <w:rPr>
        <w:color w:val="5B6573"/>
        <w:sz w:val="16"/>
        <w:szCs w:val="16"/>
      </w:rPr>
      <w:fldChar w:fldCharType="begin"/>
    </w:r>
    <w:r>
      <w:rPr>
        <w:color w:val="5B6573"/>
        <w:sz w:val="16"/>
        <w:szCs w:val="16"/>
      </w:rPr>
      <w:instrText>NUMPAGES</w:instrText>
    </w:r>
    <w:r>
      <w:rPr>
        <w:color w:val="5B6573"/>
        <w:sz w:val="16"/>
        <w:szCs w:val="16"/>
      </w:rPr>
      <w:fldChar w:fldCharType="separate"/>
    </w:r>
    <w:r w:rsidR="00FA5488">
      <w:rPr>
        <w:noProof/>
        <w:color w:val="5B6573"/>
        <w:sz w:val="16"/>
        <w:szCs w:val="16"/>
      </w:rPr>
      <w:t>2</w:t>
    </w:r>
    <w:r>
      <w:rPr>
        <w:color w:val="5B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2545" w:rsidRDefault="00DB2545">
      <w:r>
        <w:separator/>
      </w:r>
    </w:p>
  </w:footnote>
  <w:footnote w:type="continuationSeparator" w:id="0">
    <w:p w:rsidR="00DB2545" w:rsidRDefault="00DB2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7625C" w:rsidRDefault="00DB2545">
    <w:pPr>
      <w:jc w:val="right"/>
    </w:pPr>
    <w:r>
      <w:rPr>
        <w:noProof/>
      </w:rPr>
      <w:drawing>
        <wp:inline distT="0" distB="0" distL="0" distR="0">
          <wp:extent cx="2095500" cy="466725"/>
          <wp:effectExtent l="0" t="0" r="0" b="0"/>
          <wp:docPr id="447219685" name="Imagen 447219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0" cy="466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735E"/>
    <w:multiLevelType w:val="hybridMultilevel"/>
    <w:tmpl w:val="46D6CE90"/>
    <w:lvl w:ilvl="0" w:tplc="1FD0C702">
      <w:start w:val="1"/>
      <w:numFmt w:val="bullet"/>
      <w:lvlText w:val="•"/>
      <w:lvlJc w:val="left"/>
      <w:pPr>
        <w:ind w:left="540" w:hanging="270"/>
      </w:pPr>
    </w:lvl>
    <w:lvl w:ilvl="1" w:tplc="39F624E8">
      <w:start w:val="1"/>
      <w:numFmt w:val="bullet"/>
      <w:lvlText w:val="◦"/>
      <w:lvlJc w:val="left"/>
      <w:pPr>
        <w:ind w:left="900" w:hanging="270"/>
      </w:pPr>
    </w:lvl>
    <w:lvl w:ilvl="2" w:tplc="1A72ECAE">
      <w:start w:val="1"/>
      <w:numFmt w:val="bullet"/>
      <w:lvlText w:val="▪"/>
      <w:lvlJc w:val="left"/>
      <w:pPr>
        <w:ind w:left="1260" w:hanging="270"/>
      </w:pPr>
    </w:lvl>
    <w:lvl w:ilvl="3" w:tplc="779E7B26">
      <w:numFmt w:val="decimal"/>
      <w:lvlText w:val=""/>
      <w:lvlJc w:val="left"/>
    </w:lvl>
    <w:lvl w:ilvl="4" w:tplc="EC924E72">
      <w:numFmt w:val="decimal"/>
      <w:lvlText w:val=""/>
      <w:lvlJc w:val="left"/>
    </w:lvl>
    <w:lvl w:ilvl="5" w:tplc="C2249B0C">
      <w:numFmt w:val="decimal"/>
      <w:lvlText w:val=""/>
      <w:lvlJc w:val="left"/>
    </w:lvl>
    <w:lvl w:ilvl="6" w:tplc="CBD084D4">
      <w:numFmt w:val="decimal"/>
      <w:lvlText w:val=""/>
      <w:lvlJc w:val="left"/>
    </w:lvl>
    <w:lvl w:ilvl="7" w:tplc="3F6EDD92">
      <w:numFmt w:val="decimal"/>
      <w:lvlText w:val=""/>
      <w:lvlJc w:val="left"/>
    </w:lvl>
    <w:lvl w:ilvl="8" w:tplc="ACD84DEE">
      <w:numFmt w:val="decimal"/>
      <w:lvlText w:val=""/>
      <w:lvlJc w:val="left"/>
    </w:lvl>
  </w:abstractNum>
  <w:abstractNum w:abstractNumId="1" w15:restartNumberingAfterBreak="0">
    <w:nsid w:val="291D0853"/>
    <w:multiLevelType w:val="hybridMultilevel"/>
    <w:tmpl w:val="19F06408"/>
    <w:lvl w:ilvl="0" w:tplc="F1D61FB0">
      <w:start w:val="1"/>
      <w:numFmt w:val="decimal"/>
      <w:lvlText w:val="%1."/>
      <w:lvlJc w:val="left"/>
      <w:pPr>
        <w:ind w:left="540" w:hanging="300"/>
      </w:pPr>
    </w:lvl>
    <w:lvl w:ilvl="1" w:tplc="25AA58C8">
      <w:numFmt w:val="decimal"/>
      <w:lvlText w:val=""/>
      <w:lvlJc w:val="left"/>
    </w:lvl>
    <w:lvl w:ilvl="2" w:tplc="639269D6">
      <w:numFmt w:val="decimal"/>
      <w:lvlText w:val=""/>
      <w:lvlJc w:val="left"/>
    </w:lvl>
    <w:lvl w:ilvl="3" w:tplc="C542F72A">
      <w:numFmt w:val="decimal"/>
      <w:lvlText w:val=""/>
      <w:lvlJc w:val="left"/>
    </w:lvl>
    <w:lvl w:ilvl="4" w:tplc="A106E65E">
      <w:numFmt w:val="decimal"/>
      <w:lvlText w:val=""/>
      <w:lvlJc w:val="left"/>
    </w:lvl>
    <w:lvl w:ilvl="5" w:tplc="5B14965E">
      <w:numFmt w:val="decimal"/>
      <w:lvlText w:val=""/>
      <w:lvlJc w:val="left"/>
    </w:lvl>
    <w:lvl w:ilvl="6" w:tplc="3BD2449A">
      <w:numFmt w:val="decimal"/>
      <w:lvlText w:val=""/>
      <w:lvlJc w:val="left"/>
    </w:lvl>
    <w:lvl w:ilvl="7" w:tplc="4F807842">
      <w:numFmt w:val="decimal"/>
      <w:lvlText w:val=""/>
      <w:lvlJc w:val="left"/>
    </w:lvl>
    <w:lvl w:ilvl="8" w:tplc="056A2128">
      <w:numFmt w:val="decimal"/>
      <w:lvlText w:val=""/>
      <w:lvlJc w:val="left"/>
    </w:lvl>
  </w:abstractNum>
  <w:abstractNum w:abstractNumId="2" w15:restartNumberingAfterBreak="0">
    <w:nsid w:val="4DAD1F14"/>
    <w:multiLevelType w:val="hybridMultilevel"/>
    <w:tmpl w:val="D7D838F4"/>
    <w:lvl w:ilvl="0" w:tplc="6D70D842">
      <w:start w:val="1"/>
      <w:numFmt w:val="bullet"/>
      <w:lvlText w:val="●"/>
      <w:lvlJc w:val="left"/>
      <w:pPr>
        <w:ind w:left="720" w:hanging="360"/>
      </w:pPr>
    </w:lvl>
    <w:lvl w:ilvl="1" w:tplc="15641636">
      <w:start w:val="1"/>
      <w:numFmt w:val="bullet"/>
      <w:lvlText w:val="○"/>
      <w:lvlJc w:val="left"/>
      <w:pPr>
        <w:ind w:left="1440" w:hanging="360"/>
      </w:pPr>
    </w:lvl>
    <w:lvl w:ilvl="2" w:tplc="8B82863C">
      <w:start w:val="1"/>
      <w:numFmt w:val="bullet"/>
      <w:lvlText w:val="■"/>
      <w:lvlJc w:val="left"/>
      <w:pPr>
        <w:ind w:left="2160" w:hanging="360"/>
      </w:pPr>
    </w:lvl>
    <w:lvl w:ilvl="3" w:tplc="45E6FD76">
      <w:start w:val="1"/>
      <w:numFmt w:val="bullet"/>
      <w:lvlText w:val="●"/>
      <w:lvlJc w:val="left"/>
      <w:pPr>
        <w:ind w:left="2880" w:hanging="360"/>
      </w:pPr>
    </w:lvl>
    <w:lvl w:ilvl="4" w:tplc="478E89FE">
      <w:start w:val="1"/>
      <w:numFmt w:val="bullet"/>
      <w:lvlText w:val="○"/>
      <w:lvlJc w:val="left"/>
      <w:pPr>
        <w:ind w:left="3600" w:hanging="360"/>
      </w:pPr>
    </w:lvl>
    <w:lvl w:ilvl="5" w:tplc="733895C2">
      <w:start w:val="1"/>
      <w:numFmt w:val="bullet"/>
      <w:lvlText w:val="■"/>
      <w:lvlJc w:val="left"/>
      <w:pPr>
        <w:ind w:left="4320" w:hanging="360"/>
      </w:pPr>
    </w:lvl>
    <w:lvl w:ilvl="6" w:tplc="C05C1770">
      <w:start w:val="1"/>
      <w:numFmt w:val="bullet"/>
      <w:lvlText w:val="●"/>
      <w:lvlJc w:val="left"/>
      <w:pPr>
        <w:ind w:left="5040" w:hanging="360"/>
      </w:pPr>
    </w:lvl>
    <w:lvl w:ilvl="7" w:tplc="8BF8476E">
      <w:start w:val="1"/>
      <w:numFmt w:val="bullet"/>
      <w:lvlText w:val="●"/>
      <w:lvlJc w:val="left"/>
      <w:pPr>
        <w:ind w:left="5760" w:hanging="360"/>
      </w:pPr>
    </w:lvl>
    <w:lvl w:ilvl="8" w:tplc="9600065E">
      <w:start w:val="1"/>
      <w:numFmt w:val="bullet"/>
      <w:lvlText w:val="●"/>
      <w:lvlJc w:val="left"/>
      <w:pPr>
        <w:ind w:left="6480" w:hanging="360"/>
      </w:pPr>
    </w:lvl>
  </w:abstractNum>
  <w:num w:numId="1" w16cid:durableId="892891360">
    <w:abstractNumId w:val="2"/>
    <w:lvlOverride w:ilvl="0">
      <w:startOverride w:val="1"/>
    </w:lvlOverride>
  </w:num>
  <w:num w:numId="2" w16cid:durableId="668826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25C"/>
    <w:rsid w:val="00307738"/>
    <w:rsid w:val="00DB2545"/>
    <w:rsid w:val="00F7625C"/>
    <w:rsid w:val="00FA548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828C35-44E3-4E2E-9A52-8B3B8AE6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F2937"/>
        <w:sz w:val="21"/>
        <w:szCs w:val="21"/>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40" w:after="160"/>
      <w:outlineLvl w:val="0"/>
    </w:pPr>
    <w:rPr>
      <w:b/>
      <w:bCs/>
      <w:color w:val="172B50"/>
      <w:sz w:val="34"/>
      <w:szCs w:val="34"/>
    </w:rPr>
  </w:style>
  <w:style w:type="paragraph" w:styleId="Ttulo2">
    <w:name w:val="heading 2"/>
    <w:uiPriority w:val="9"/>
    <w:unhideWhenUsed/>
    <w:qFormat/>
    <w:pPr>
      <w:keepNext/>
      <w:spacing w:before="260" w:after="120"/>
      <w:outlineLvl w:val="1"/>
    </w:pPr>
    <w:rPr>
      <w:b/>
      <w:bCs/>
      <w:color w:val="008184"/>
      <w:sz w:val="26"/>
      <w:szCs w:val="26"/>
    </w:rPr>
  </w:style>
  <w:style w:type="paragraph" w:styleId="Ttulo3">
    <w:name w:val="heading 3"/>
    <w:uiPriority w:val="9"/>
    <w:semiHidden/>
    <w:unhideWhenUsed/>
    <w:qFormat/>
    <w:pPr>
      <w:keepNext/>
      <w:spacing w:before="200" w:after="80"/>
      <w:outlineLvl w:val="2"/>
    </w:pPr>
    <w:rPr>
      <w:b/>
      <w:bCs/>
      <w:color w:val="172B5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FA5488"/>
    <w:pPr>
      <w:spacing w:after="100"/>
    </w:pPr>
  </w:style>
  <w:style w:type="paragraph" w:styleId="TDC2">
    <w:name w:val="toc 2"/>
    <w:basedOn w:val="Normal"/>
    <w:next w:val="Normal"/>
    <w:autoRedefine/>
    <w:uiPriority w:val="39"/>
    <w:unhideWhenUsed/>
    <w:rsid w:val="00FA548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2544</Words>
  <Characters>13992</Characters>
  <Application>Microsoft Office Word</Application>
  <DocSecurity>0</DocSecurity>
  <Lines>116</Lines>
  <Paragraphs>33</Paragraphs>
  <ScaleCrop>false</ScaleCrop>
  <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Innovación del proyecto: sección para el Informe Final</dc:title>
  <dc:creator>Equipo CitaJusta</dc:creator>
  <dc:description>Innovación del proyecto: sección para el Informe Final</dc:description>
  <cp:lastModifiedBy>DIEGO . SIMON CANALES</cp:lastModifiedBy>
  <cp:revision>2</cp:revision>
  <dcterms:created xsi:type="dcterms:W3CDTF">2026-10-17T18:23:00Z</dcterms:created>
  <dcterms:modified xsi:type="dcterms:W3CDTF">2026-10-17T18:23:00Z</dcterms:modified>
</cp:coreProperties>
</file>