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6573"/>
          <w:sz w:val="22"/>
        </w:rPr>
        <w:t>CITAJUSTA</w:t>
      </w:r>
    </w:p>
    <w:p>
      <w:pPr>
        <w:pStyle w:val="Title"/>
        <w:spacing w:after="80"/>
      </w:pPr>
      <w:r>
        <w:t>Arquitectura de APIs</w:t>
      </w:r>
    </w:p>
    <w:p>
      <w:r>
        <w:rPr>
          <w:b/>
        </w:rPr>
        <w:t>Proyecto de Título · Ingeniería en Informática</w:t>
      </w:r>
    </w:p>
    <w:p>
      <w:pPr>
        <w:spacing w:after="20"/>
      </w:pPr>
      <w:r>
        <w:rPr>
          <w:b/>
        </w:rPr>
        <w:t xml:space="preserve">Sede: </w:t>
      </w:r>
      <w:r>
        <w:t>Duoc UC Puente Alto</w:t>
      </w:r>
    </w:p>
    <w:p>
      <w:pPr>
        <w:spacing w:after="20"/>
      </w:pPr>
      <w:r>
        <w:rPr>
          <w:b/>
        </w:rPr>
        <w:t xml:space="preserve">Versión: </w:t>
      </w:r>
      <w:r>
        <w:t>0.2</w:t>
      </w:r>
    </w:p>
    <w:p>
      <w:pPr>
        <w:spacing w:after="20"/>
      </w:pPr>
      <w:r>
        <w:rPr>
          <w:b/>
        </w:rPr>
        <w:t xml:space="preserve">Estado: </w:t>
      </w:r>
      <w:r>
        <w:t>Actualización arquitectónica</w:t>
      </w:r>
    </w:p>
    <w:p>
      <w:pPr>
        <w:spacing w:after="20"/>
      </w:pPr>
      <w:r>
        <w:rPr>
          <w:b/>
        </w:rPr>
        <w:t xml:space="preserve">Fecha: </w:t>
      </w:r>
      <w:r>
        <w:t>04 de octubre de 2026</w:t>
      </w:r>
    </w:p>
    <w:p>
      <w:pPr>
        <w:spacing w:before="4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Integrantes</w:t>
      </w:r>
    </w:p>
    <w:p>
      <w:pPr>
        <w:spacing w:after="20"/>
        <w:ind w:left="259"/>
      </w:pPr>
      <w:r>
        <w:t>• Matías Andrés Torres</w:t>
      </w:r>
    </w:p>
    <w:p>
      <w:pPr>
        <w:spacing w:after="20"/>
        <w:ind w:left="259"/>
      </w:pPr>
      <w:r>
        <w:t>• Bastian Sepúlveda</w:t>
      </w:r>
    </w:p>
    <w:p>
      <w:pPr>
        <w:spacing w:after="20"/>
        <w:ind w:left="259"/>
      </w:pPr>
      <w:r>
        <w:t>• Diego Simon</w:t>
      </w:r>
    </w:p>
    <w:p>
      <w:r>
        <w:rPr>
          <w:b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25-08-2026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Creación inicial del documento.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04-10-2026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Actualización al estado real del repositorio e incorporación del plan de integraciones externas HU-039 a HU-043.</w:t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Esta revisión de alcance al 16-10-2026 actualiza la arquitectura de APIs tras la implementación de HU-039 a HU-042 y el retiro de HU-043. La API propia permanece como frontera principal entre Web, Desktop, el dominio y PostgreSQL. Las integraciones externas no sustituyen la autorización ni la fuente de verdad de CitaJusta.</w:t>
      </w:r>
    </w:p>
    <w:p>
      <w:pPr>
        <w:ind w:left="259" w:hanging="173"/>
      </w:pPr>
      <w:r>
        <w:rPr>
          <w:b/>
        </w:rPr>
        <w:t xml:space="preserve">• </w:t>
      </w:r>
      <w:r>
        <w:t>API REST versionada bajo /api/v1 para contratos funcionales; GET /health permanece como excepción técnica sin prefijo.</w:t>
      </w:r>
    </w:p>
    <w:p>
      <w:pPr>
        <w:ind w:left="259" w:hanging="173"/>
      </w:pPr>
      <w:r>
        <w:rPr>
          <w:b/>
        </w:rPr>
        <w:t xml:space="preserve">• </w:t>
      </w:r>
      <w:r>
        <w:t>Web y Desktop consumen la misma API y no acceden directamente a PostgreSQL ni a Prisma.</w:t>
      </w:r>
    </w:p>
    <w:p>
      <w:pPr>
        <w:ind w:left="259" w:hanging="173"/>
      </w:pPr>
      <w:r>
        <w:rPr>
          <w:b/>
        </w:rPr>
        <w:t xml:space="preserve">• </w:t>
      </w:r>
      <w:r>
        <w:t>PostgreSQL/CitaJusta permanece como fuente de verdad para usuarios, citas, agenda, sedes, reasignaciones, reportes y auditoría.</w:t>
      </w:r>
    </w:p>
    <w:p>
      <w:pPr>
        <w:ind w:left="259" w:hanging="173"/>
      </w:pPr>
      <w:r>
        <w:rPr>
          <w:b/>
        </w:rPr>
        <w:t xml:space="preserve">• </w:t>
      </w:r>
      <w:r>
        <w:t>Los proveedores externos se integran mediante contratos controlados y no reciben autoridad sobre reglas de negocio internas.</w:t>
      </w:r>
    </w:p>
    <w:p>
      <w:pPr>
        <w:ind w:left="259" w:hanging="173"/>
      </w:pPr>
      <w:r>
        <w:rPr>
          <w:b/>
        </w:rPr>
        <w:t xml:space="preserve">• </w:t>
      </w:r>
      <w:r>
        <w:t>OpenAPI/Swagger forma parte del cierre técnico planificado para Sprint 9; hasta entonces, backend, tests y README son evidencia operativa de los contratos implementados.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2D4D"/>
                <w:sz w:val="18"/>
              </w:rPr>
              <w:t>Estado al 16-10-2026: HU-039 a HU-042 con Issues cerradas y PR fusionadas. HU-043 excluida del alcance; Issue #165 cerrada como COMPLETED requiere aclaración semántica, no se considera funcional. La mejora de Resend V2 sigue local y pendiente de publicación/validación visual.</w:t>
            </w:r>
          </w:p>
        </w:tc>
      </w:tr>
    </w:tbl>
    <w:p>
      <w:pPr>
        <w:spacing w:after="0"/>
      </w:pPr>
    </w:p>
    <w:p>
      <w:pPr>
        <w:pStyle w:val="Heading1"/>
      </w:pPr>
      <w:r>
        <w:t>2. Estado actual de la API propia</w:t>
      </w:r>
    </w:p>
    <w:p>
      <w:r>
        <w:t>El backend NestJS funciona como monolito modular. Valida entradas, deriva identidad y contexto institucional desde la sesión, aplica RBAC y concentra transacciones críticas. Los dominios actualmente presentes en el repositorio incluyen: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70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Responsabilidad actual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auth / users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Registro, login, refresh/logout, perfil autenticado y contexto de acceso.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institutions / services / professionals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Catálogos y administración institucional con aislamiento por tenant.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availability / agenda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Disponibilidad, bloqueos, cupos materializados y consulta de agenda institucional.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appointments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Reserva, consulta propia, cancelación y asistencia/inasistencia.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waitlist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Lista de espera, preferencias y retiro.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reassignments / reassignment-policy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Motor de reasignación, ofertas, continuidad, supervisión y políticas versionadas.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Notificaciones internas persistentes y lectura por usuario.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Indicadores institucionales read-only.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Bitácora read-only con filtros y paginación por cursor.</w:t>
            </w:r>
          </w:p>
        </w:tc>
      </w:tr>
    </w:tbl>
    <w:p>
      <w:pPr>
        <w:spacing w:after="0"/>
      </w:pPr>
    </w:p>
    <w:p>
      <w:pPr>
        <w:pStyle w:val="Heading1"/>
      </w:pPr>
      <w:r>
        <w:t>3. Principios de diseño de contratos</w:t>
      </w:r>
    </w:p>
    <w:p>
      <w:pPr>
        <w:ind w:left="259" w:hanging="173"/>
      </w:pPr>
      <w:r>
        <w:rPr>
          <w:b/>
        </w:rPr>
        <w:t xml:space="preserve">• </w:t>
      </w:r>
      <w:r>
        <w:t>DTOs explícitos y controlados: nunca devolver modelos Prisma completos ni secretos.</w:t>
      </w:r>
    </w:p>
    <w:p>
      <w:pPr>
        <w:ind w:left="259" w:hanging="173"/>
      </w:pPr>
      <w:r>
        <w:rPr>
          <w:b/>
        </w:rPr>
        <w:t xml:space="preserve">• </w:t>
      </w:r>
      <w:r>
        <w:t>Identidades institucionales, usuario y actor se derivan del contexto autenticado; no se aceptan como autoridad desde el body del cliente.</w:t>
      </w:r>
    </w:p>
    <w:p>
      <w:pPr>
        <w:ind w:left="259" w:hanging="173"/>
      </w:pPr>
      <w:r>
        <w:rPr>
          <w:b/>
        </w:rPr>
        <w:t xml:space="preserve">• </w:t>
      </w:r>
      <w:r>
        <w:t>Los endpoints aplican autorización y aislamiento multi-tenant en backend, incluso cuando la interfaz oculta acciones no permitidas.</w:t>
      </w:r>
    </w:p>
    <w:p>
      <w:pPr>
        <w:ind w:left="259" w:hanging="173"/>
      </w:pPr>
      <w:r>
        <w:rPr>
          <w:b/>
        </w:rPr>
        <w:t xml:space="preserve">• </w:t>
      </w:r>
      <w:r>
        <w:t>Los filtros y enumeraciones son allow-list; se rechazan parámetros desconocidos cuando el contrato lo define.</w:t>
      </w:r>
    </w:p>
    <w:p>
      <w:pPr>
        <w:ind w:left="259" w:hanging="173"/>
      </w:pPr>
      <w:r>
        <w:rPr>
          <w:b/>
        </w:rPr>
        <w:t xml:space="preserve">• </w:t>
      </w:r>
      <w:r>
        <w:t>Las operaciones críticas son atómicas y respetan las reglas de concurrencia del dominio; no se emplean locks en memoria como garantía de consistencia.</w:t>
      </w:r>
    </w:p>
    <w:p>
      <w:pPr>
        <w:ind w:left="259" w:hanging="173"/>
      </w:pPr>
      <w:r>
        <w:rPr>
          <w:b/>
        </w:rPr>
        <w:t xml:space="preserve">• </w:t>
      </w:r>
      <w:r>
        <w:t>Los errores se sanitizan y no exponen SQL, stack traces, secretos o detalles internos.</w:t>
      </w:r>
    </w:p>
    <w:p>
      <w:pPr>
        <w:pStyle w:val="Heading1"/>
      </w:pPr>
      <w:r>
        <w:t>4. Convenciones de rutas, tiempo y paginación</w:t>
      </w:r>
    </w:p>
    <w:p>
      <w:pPr>
        <w:ind w:left="259" w:hanging="173"/>
      </w:pPr>
      <w:r>
        <w:rPr>
          <w:b/>
        </w:rPr>
        <w:t xml:space="preserve">• </w:t>
      </w:r>
      <w:r>
        <w:t>Rutas funcionales versionadas bajo /api/v1; /health queda fuera del prefijo.</w:t>
      </w:r>
    </w:p>
    <w:p>
      <w:pPr>
        <w:ind w:left="259" w:hanging="173"/>
      </w:pPr>
      <w:r>
        <w:rPr>
          <w:b/>
        </w:rPr>
        <w:t xml:space="preserve">• </w:t>
      </w:r>
      <w:r>
        <w:t>Instantes se intercambian en ISO 8601 UTC cuando representan timestamps persistidos.</w:t>
      </w:r>
    </w:p>
    <w:p>
      <w:pPr>
        <w:ind w:left="259" w:hanging="173"/>
      </w:pPr>
      <w:r>
        <w:rPr>
          <w:b/>
        </w:rPr>
        <w:t xml:space="preserve">• </w:t>
      </w:r>
      <w:r>
        <w:t>Las fechas civiles institucionales se interpretan con la zona horaria IANA de la institución cuando el contrato lo requiere.</w:t>
      </w:r>
    </w:p>
    <w:p>
      <w:pPr>
        <w:ind w:left="259" w:hanging="173"/>
      </w:pPr>
      <w:r>
        <w:rPr>
          <w:b/>
        </w:rPr>
        <w:t xml:space="preserve">• </w:t>
      </w:r>
      <w:r>
        <w:t>La paginación no se fuerza a un esquema universal. Por ejemplo, Auditoría usa un cursor opaco page.nextCursor; no se inventan offset, total o número de página si el backend no los entrega.</w:t>
      </w:r>
    </w:p>
    <w:p>
      <w:pPr>
        <w:ind w:left="259" w:hanging="173"/>
      </w:pPr>
      <w:r>
        <w:rPr>
          <w:b/>
        </w:rPr>
        <w:t xml:space="preserve">• </w:t>
      </w:r>
      <w:r>
        <w:t>Los clientes deben conservar los filtros al solicitar la página siguiente y descartar respuestas stale cuando cambie la consulta.</w:t>
      </w:r>
    </w:p>
    <w:p>
      <w:pPr>
        <w:pStyle w:val="Heading1"/>
      </w:pPr>
      <w:r>
        <w:t>5. Seguridad, RBAC y multi-tenancy</w:t>
      </w:r>
    </w:p>
    <w:p>
      <w:r>
        <w:t>La API valida autenticación y autorización en backend. El contexto efectivo puede ser institucional o de sede según los grants del usuario. Un identificador enviado por el cliente no puede ampliar el ámbito autorizado.</w:t>
      </w:r>
    </w:p>
    <w:p>
      <w:pPr>
        <w:ind w:left="259" w:hanging="173"/>
      </w:pPr>
      <w:r>
        <w:rPr>
          <w:b/>
        </w:rPr>
        <w:t xml:space="preserve">• </w:t>
      </w:r>
      <w:r>
        <w:t>JWT de acceso y refresh token según el flujo existente.</w:t>
      </w:r>
    </w:p>
    <w:p>
      <w:pPr>
        <w:ind w:left="259" w:hanging="173"/>
      </w:pPr>
      <w:r>
        <w:rPr>
          <w:b/>
        </w:rPr>
        <w:t xml:space="preserve">• </w:t>
      </w:r>
      <w:r>
        <w:t>RBAC con permisos explícitos por capacidad.</w:t>
      </w:r>
    </w:p>
    <w:p>
      <w:pPr>
        <w:ind w:left="259" w:hanging="173"/>
      </w:pPr>
      <w:r>
        <w:rPr>
          <w:b/>
        </w:rPr>
        <w:t xml:space="preserve">• </w:t>
      </w:r>
      <w:r>
        <w:t>Controles contra IDOR y acceso cross-tenant.</w:t>
      </w:r>
    </w:p>
    <w:p>
      <w:pPr>
        <w:ind w:left="259" w:hanging="173"/>
      </w:pPr>
      <w:r>
        <w:rPr>
          <w:b/>
        </w:rPr>
        <w:t xml:space="preserve">• </w:t>
      </w:r>
      <w:r>
        <w:t>Respuestas 404 cuando revelar la existencia de un recurso ajeno pueda filtrar información.</w:t>
      </w:r>
    </w:p>
    <w:p>
      <w:pPr>
        <w:ind w:left="259" w:hanging="173"/>
      </w:pPr>
      <w:r>
        <w:rPr>
          <w:b/>
        </w:rPr>
        <w:t xml:space="preserve">• </w:t>
      </w:r>
      <w:r>
        <w:t>Secretos y credenciales sólo mediante configuración segura por ambiente; nunca en respuestas ni logs funcionales.</w:t>
      </w:r>
    </w:p>
    <w:p>
      <w:pPr>
        <w:pStyle w:val="Heading1"/>
      </w:pPr>
      <w:r>
        <w:t>6. Concurrencia, transacciones e idempotencia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Garantía requerida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Reserva de cita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Transacción, revalidación del slot, lockVersion y UNIQUE sobre la cita asociada al cupo.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Cancelación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Idempotencia funcional y liberación coherente del cupo sin efectos duplicados.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Aceptación de oferta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Reutiliza/transfiere la Appointment existente; nunca crea una segunda cita para el mismo slot.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Rechazo/expiración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Continúa sobre el mismo proceso de reasignación y respeta snapshots/historial.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Operaciones críticas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Serializable + retry acotado sólo ante conflictos transaccionales reconocidos cuando corresponda.</w:t>
            </w:r>
          </w:p>
        </w:tc>
      </w:tr>
    </w:tbl>
    <w:p>
      <w:pPr>
        <w:spacing w:after="0"/>
      </w:pPr>
    </w:p>
    <w:p>
      <w:pPr>
        <w:pStyle w:val="Heading1"/>
      </w:pPr>
      <w:r>
        <w:t>7. Notificaciones internas y procesamiento asíncrono</w:t>
      </w:r>
    </w:p>
    <w:p>
      <w:r>
        <w:t>HU-024 implementa notificaciones internas persistentes. HU-039 incorpora envío transaccional por correo mediante Resend, desacoplado de la reserva y con outbox e idempotencia. Una falla del proveedor no revierte una operación ya confirmada. Las demás integraciones vigentes se acoplan mediante interfaces controladas.</w:t>
      </w:r>
    </w:p>
    <w:p>
      <w:pPr>
        <w:ind w:left="259" w:hanging="173"/>
      </w:pPr>
      <w:r>
        <w:rPr>
          <w:b/>
        </w:rPr>
        <w:t xml:space="preserve">• </w:t>
      </w:r>
      <w:r>
        <w:t>Los eventos internos mantienen trazabilidad propia y no se sustituyen por el estado del proveedor externo.</w:t>
      </w:r>
    </w:p>
    <w:p>
      <w:pPr>
        <w:ind w:left="259" w:hanging="173"/>
      </w:pPr>
      <w:r>
        <w:rPr>
          <w:b/>
        </w:rPr>
        <w:t>• Resend conserva idempotencia, claims/leases y reintentos controlados del flujo existente; no reenvía automáticamente entregas SENT.</w:t>
      </w:r>
      <w:r/>
    </w:p>
    <w:p>
      <w:pPr>
        <w:ind w:left="259" w:hanging="173"/>
      </w:pPr>
      <w:r>
        <w:rPr>
          <w:b/>
        </w:rPr>
        <w:t xml:space="preserve">• </w:t>
      </w:r>
      <w:r>
        <w:t>Las credenciales de proveedores se mantienen fuera de clientes y repositorio cuando sean secretas.</w:t>
      </w:r>
    </w:p>
    <w:p>
      <w:pPr>
        <w:ind w:left="259" w:hanging="173"/>
      </w:pPr>
      <w:r>
        <w:rPr>
          <w:b/>
        </w:rPr>
        <w:t>• Existe persistencia de entrega de correo implementada en HU-039; no introducir colas, tablas ni proveedores adicionales sin un requisito aprobado.</w:t>
      </w:r>
      <w:r/>
    </w:p>
    <w:p>
      <w:pPr>
        <w:pStyle w:val="Heading1"/>
      </w:pPr>
      <w:r>
        <w:t>8. Integraciones externas vigentes — HU-039 a HU-042 (Sprint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HU / RF</w:t>
            </w:r>
          </w:p>
        </w:tc>
        <w:tc>
          <w:tcPr>
            <w:tcW w:type="dxa" w:w="194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67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Frontera arquitectónica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HU-039 / RF-039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Resend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Correo transaccional para confirmaciones, cancelaciones, ofertas/reasignaciones y recordatorios definidos.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Adaptador backend. El dominio decide qué evento notificar; Resend sólo transporta el correo.</w:t>
            </w:r>
          </w:p>
        </w:tc>
      </w:tr>
      <w:tr>
        <w:tc>
          <w:tcPr>
            <w:tcW w:type="dxa" w:w="180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HU-040 / RF-040</w:t>
            </w:r>
          </w:p>
        </w:tc>
        <w:tc>
          <w:tcPr>
            <w:tcW w:type="dxa" w:w="19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OAuth / OpenID Connect</w:t>
            </w:r>
          </w:p>
        </w:tc>
        <w:tc>
          <w:tcPr>
            <w:tcW w:type="dxa" w:w="36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Método adicional de inicio de sesión con Google.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El backend valida el flujo federado y lo vincula con la identidad local; RBAC, contexto y sesión CitaJusta siguen siendo autoritativos.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HU-041 / RF-041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Calendar API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Permitir al usuario incorporar una cita confirmada a su calendario.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Autorización explícita del usuario. Calendar recibe una copia; no es fuente de verdad ni sincronización bidireccional por defecto.</w:t>
            </w:r>
          </w:p>
        </w:tc>
      </w:tr>
      <w:tr>
        <w:tc>
          <w:tcPr>
            <w:tcW w:type="dxa" w:w="180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HU-042 / RF-042</w:t>
            </w:r>
          </w:p>
        </w:tc>
        <w:tc>
          <w:tcPr>
            <w:tcW w:type="dxa" w:w="19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OpenStreetMap / enlaces de Google Maps</w:t>
            </w:r>
          </w:p>
        </w:tc>
        <w:tc>
          <w:tcPr>
            <w:tcW w:type="dxa" w:w="36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Visualizar sede con OSM y abrir rutas con Google Maps usando datos institucionales existentes.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Iframe OpenStreetMap y enlaces Google Maps; sin consumir Google Maps Platform API ni clave de facturación.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HU-043 / RF-043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WhatsApp — excluida del alcance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Requisito RF-043 retirado de la entrega; se conserva para trazabilidad histórica.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Sin integración activa; decisión de retiro del 15-10 y PR #169 fusionada.</w:t>
            </w:r>
          </w:p>
        </w:tc>
      </w:tr>
    </w:tbl>
    <w:p>
      <w:pPr>
        <w:spacing w:after="0"/>
      </w:pPr>
    </w:p>
    <w:p>
      <w:pPr>
        <w:pStyle w:val="Heading1"/>
      </w:pPr>
      <w:r>
        <w:t>9. Reglas por integración</w:t>
      </w:r>
    </w:p>
    <w:p>
      <w:pPr>
        <w:pStyle w:val="Heading2"/>
      </w:pPr>
      <w:r>
        <w:t>9.1 Resend</w:t>
      </w:r>
    </w:p>
    <w:p>
      <w:r>
        <w:t>HU-039 integra correos transaccionales mediante Resend a partir de notificaciones del dominio ya confirmadas, con control de entrega, reintentos e idempotencia. Se comprobó recepción real del correo HTML de reserva en Gmail el 15-10-2026. La plantilla HTML V2 con logo CID cuenta con 611/611 pruebas API reportadas, pero su recepción visual final en Gmail aún no se ha acreditado y los cambios permanecen sin publicar.</w:t>
      </w:r>
    </w:p>
    <w:p>
      <w:pPr>
        <w:pStyle w:val="Heading2"/>
      </w:pPr>
      <w:r>
        <w:t>9.2 Google OAuth / OpenID Connect</w:t>
      </w:r>
    </w:p>
    <w:p>
      <w:r>
        <w:t>HU-040 incorporó Google OAuth/OpenID Connect como método adicional de autenticación, preservando identidad local, RBAC y contexto institucional. La PR #156 está fusionada; no significa que claims externos otorguen permisos institucionales.</w:t>
      </w:r>
    </w:p>
    <w:p>
      <w:pPr>
        <w:pStyle w:val="Heading2"/>
      </w:pPr>
      <w:r>
        <w:t>9.3 Google Calendar</w:t>
      </w:r>
    </w:p>
    <w:p>
      <w:r>
        <w:t>HU-041 permite agregar de forma explícita una copia de una cita propia AGENDADA a Google Calendar con autorización del usuario. No existe sincronización bidireccional: la cita en CitaJusta/PostgreSQL conserva su estado autoritativo. PR #159 fusionada.</w:t>
      </w:r>
    </w:p>
    <w:p>
      <w:pPr>
        <w:pStyle w:val="Heading2"/>
      </w:pPr>
      <w:r>
        <w:t>9.4 OpenStreetMap y enlaces de Google Maps</w:t>
      </w:r>
    </w:p>
    <w:p>
      <w:r>
        <w:t>HU-042 visualiza la sede mediante iframe oficial OpenStreetMap y facilita indicaciones mediante enlaces/URLs de Google Maps, usando datos reales de dirección o coordenadas de Branch. No utiliza Google Maps JavaScript, Embed o Places API ni una clave de Google Maps Platform; sin geocodificación nueva. PR #163 fusionada.</w:t>
      </w:r>
    </w:p>
    <w:p>
      <w:pPr>
        <w:pStyle w:val="Heading2"/>
      </w:pPr>
      <w:r>
        <w:t>9.5 Exclusión de WhatsApp del alcance (HU-043/RF-043)</w:t>
      </w:r>
    </w:p>
    <w:p>
      <w:r>
        <w:t>HU-043/RF-043 (WhatsApp Cloud API) fue excluida del alcance entregable el 15-10-2026 por restricciones empresariales del proveedor Meta en el contexto académico. La integración experimental se retiró del código; la PR documental #169 fue fusionada a main. La Issue #165 figura cerrada como COMPLETED, pero ese motivo de cierre no acredita implementación. No existe canal WhatsApp activo en la entrega. El cambio queda trazado en Scrum y decisiones técnicas; no se reescribe el historial del Sprint originalmente planificado.</w:t>
      </w:r>
    </w:p>
    <w:p>
      <w:pPr>
        <w:pStyle w:val="Heading1"/>
      </w:pPr>
      <w:r>
        <w:t>10. Privacidad, secretos y datos hacia terceros</w:t>
      </w:r>
    </w:p>
    <w:p>
      <w:pPr>
        <w:ind w:left="259" w:hanging="173"/>
      </w:pPr>
      <w:r>
        <w:rPr>
          <w:b/>
        </w:rPr>
        <w:t xml:space="preserve">• </w:t>
      </w:r>
      <w:r>
        <w:t>Enviar únicamente datos mínimos necesarios para el propósito de cada integración.</w:t>
      </w:r>
    </w:p>
    <w:p>
      <w:pPr>
        <w:ind w:left="259" w:hanging="173"/>
      </w:pPr>
      <w:r>
        <w:rPr>
          <w:b/>
        </w:rPr>
        <w:t xml:space="preserve">• </w:t>
      </w:r>
      <w:r>
        <w:t>No enviar hashes de contraseña, refresh tokens, RBAC interno, historiales completos ni payloads de auditoría a proveedores externos.</w:t>
      </w:r>
    </w:p>
    <w:p>
      <w:pPr>
        <w:ind w:left="259" w:hanging="173"/>
      </w:pPr>
      <w:r>
        <w:rPr>
          <w:b/>
        </w:rPr>
        <w:t>• Los tokens de Google se manejan conforme a la integración implementada; no presuponer persistencia adicional ni guardar tokens o secretos en el repositorio.</w:t>
      </w:r>
      <w:r/>
    </w:p>
    <w:p>
      <w:pPr>
        <w:ind w:left="259" w:hanging="173"/>
      </w:pPr>
      <w:r>
        <w:rPr>
          <w:b/>
        </w:rPr>
        <w:t xml:space="preserve">• </w:t>
      </w:r>
      <w:r>
        <w:t>En privacidad/protección de datos se documentarán medidas y decisiones sin afirmar certificación o cumplimiento legal absoluto.</w:t>
      </w:r>
    </w:p>
    <w:p>
      <w:pPr>
        <w:ind w:left="259" w:hanging="173"/>
      </w:pPr>
      <w:r>
        <w:rPr>
          <w:b/>
        </w:rPr>
        <w:t xml:space="preserve">• </w:t>
      </w:r>
      <w:r>
        <w:t>Las pruebas y evidencias utilizarán datos ficticios o controlados.</w:t>
      </w:r>
    </w:p>
    <w:p>
      <w:pPr>
        <w:pStyle w:val="Heading1"/>
      </w:pPr>
      <w:r>
        <w:t>11. Manejo de fallos y observabilidad</w:t>
      </w:r>
    </w:p>
    <w:p>
      <w:pPr>
        <w:ind w:left="259" w:hanging="173"/>
      </w:pPr>
      <w:r>
        <w:rPr>
          <w:b/>
        </w:rPr>
        <w:t xml:space="preserve">• </w:t>
      </w:r>
      <w:r>
        <w:t>Distinguir error de negocio de CitaJusta y error de proveedor externo.</w:t>
      </w:r>
    </w:p>
    <w:p>
      <w:pPr>
        <w:ind w:left="259" w:hanging="173"/>
      </w:pPr>
      <w:r>
        <w:rPr>
          <w:b/>
        </w:rPr>
        <w:t xml:space="preserve">• </w:t>
      </w:r>
      <w:r>
        <w:t>No traducir errores arbitrarios o de programación a conflictos 409.</w:t>
      </w:r>
    </w:p>
    <w:p>
      <w:pPr>
        <w:ind w:left="259" w:hanging="173"/>
      </w:pPr>
      <w:r>
        <w:rPr>
          <w:b/>
        </w:rPr>
        <w:t>• Resend dispone de registro propio de entregas y correlación; distinguir estado SENT interno, aceptación del proveedor y recepción real, y evitar filtrar secretos.</w:t>
      </w:r>
      <w:r/>
    </w:p>
    <w:p>
      <w:pPr>
        <w:ind w:left="259" w:hanging="173"/>
      </w:pPr>
      <w:r>
        <w:rPr>
          <w:b/>
        </w:rPr>
        <w:t xml:space="preserve">• </w:t>
      </w:r>
      <w:r>
        <w:t>Timeouts, rate limits y reintentos deben ser configurables y acotados.</w:t>
      </w:r>
    </w:p>
    <w:p>
      <w:pPr>
        <w:ind w:left="259" w:hanging="173"/>
      </w:pPr>
      <w:r>
        <w:rPr>
          <w:b/>
        </w:rPr>
        <w:t xml:space="preserve">• </w:t>
      </w:r>
      <w:r>
        <w:t>La auditoría interna conserva decisiones relevantes; logs técnicos sirven para diagnóstico y no reemplazan la bitácora.</w:t>
      </w:r>
    </w:p>
    <w:p>
      <w:pPr>
        <w:pStyle w:val="Heading1"/>
      </w:pPr>
      <w:r>
        <w:t>12. OpenAPI / Swagger y documentación de contratos</w:t>
      </w:r>
    </w:p>
    <w:p>
      <w:r>
        <w:t>OpenAPI/Swagger permanece como actividad planificada de cierre técnico; documentará únicamente endpoints vigentes y protegidos, sin presentar integraciones retiradas como operativas.</w:t>
      </w:r>
    </w:p>
    <w:p>
      <w:pPr>
        <w:pStyle w:val="Heading1"/>
        <w:pageBreakBefore/>
      </w:pPr>
      <w:r>
        <w:t>13. Estrategia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777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Parsers, adaptadores, validaciones, mapeos y tratamiento de errores.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Contratos entre módulo de dominio y adaptador externo con dobles controlados.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E2E PostgreSQL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Flujos propios de CitaJusta que modifiquen estado crítico; PostgreSQL real continúa siendo base de verificación.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Contrato externo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Mock/fixture de proveedor para respuestas, timeouts, errores y rate limits sin depender siempre de red real.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RBAC, multi-tenant, protección de secretos y rechazo de identidad aportada por cliente.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Manual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Validación de una integración real controlada cuando exista credencial de desarrollo y sea seguro hacerlo.</w:t>
            </w:r>
          </w:p>
        </w:tc>
      </w:tr>
    </w:tbl>
    <w:p>
      <w:pPr>
        <w:spacing w:after="0"/>
      </w:pPr>
    </w:p>
    <w:p>
      <w:pPr>
        <w:pStyle w:val="Heading1"/>
      </w:pPr>
      <w:r>
        <w:t>14. Trazabilidad con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HU</w:t>
            </w:r>
          </w:p>
        </w:tc>
        <w:tc>
          <w:tcPr>
            <w:tcW w:type="dxa" w:w="144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172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Estado verificado en GitHub al 16-10-2026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HU-039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RF-039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Issue #152 CLOSED COMPLETED · PR #153 MERGED</w:t>
            </w:r>
          </w:p>
        </w:tc>
      </w:tr>
      <w:tr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HU-040</w:t>
            </w:r>
          </w:p>
        </w:tc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RF-040</w:t>
            </w:r>
          </w:p>
        </w:tc>
        <w:tc>
          <w:tcPr>
            <w:tcW w:type="dxa" w:w="172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Issue #155 CLOSED COMPLETED · PR #156 MERGED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HU-041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RF-041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Issue #158 CLOSED COMPLETED · PR #159 MERGED</w:t>
            </w:r>
          </w:p>
        </w:tc>
      </w:tr>
      <w:tr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HU-042</w:t>
            </w:r>
          </w:p>
        </w:tc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RF-042</w:t>
            </w:r>
          </w:p>
        </w:tc>
        <w:tc>
          <w:tcPr>
            <w:tcW w:type="dxa" w:w="172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Issue #162 CLOSED COMPLETED · PR #163 MERGED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RF-043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FUERA DE ALCANCE: Issue #165 CLOSED COMPLETED (motivo a rectificar); PR #169 MERGED documenta retiro, NO implementación</w:t>
            </w:r>
          </w:p>
        </w:tc>
      </w:tr>
    </w:tbl>
    <w:p>
      <w:pPr>
        <w:spacing w:after="0"/>
      </w:pPr>
    </w:p>
    <w:p>
      <w:pPr>
        <w:pStyle w:val="Heading1"/>
      </w:pPr>
      <w:r>
        <w:t>15. Criterios arquitectónicos de aceptación</w:t>
      </w:r>
    </w:p>
    <w:p>
      <w:pPr>
        <w:ind w:left="259" w:hanging="173"/>
      </w:pPr>
      <w:r>
        <w:rPr>
          <w:b/>
        </w:rPr>
        <w:t xml:space="preserve">• </w:t>
      </w:r>
      <w:r>
        <w:t>Las integraciones no duplican reglas de negocio en Web o Desktop.</w:t>
      </w:r>
    </w:p>
    <w:p>
      <w:pPr>
        <w:ind w:left="259" w:hanging="173"/>
      </w:pPr>
      <w:r>
        <w:rPr>
          <w:b/>
        </w:rPr>
        <w:t xml:space="preserve">• </w:t>
      </w:r>
      <w:r>
        <w:t>Ningún proveedor externo se convierte en fuente de verdad de citas, permisos o tenant.</w:t>
      </w:r>
    </w:p>
    <w:p>
      <w:pPr>
        <w:ind w:left="259" w:hanging="173"/>
      </w:pPr>
      <w:r>
        <w:rPr>
          <w:b/>
        </w:rPr>
        <w:t xml:space="preserve">• </w:t>
      </w:r>
      <w:r>
        <w:t>Las operaciones críticas mantienen transacciones, lockVersion y restricciones existentes.</w:t>
      </w:r>
    </w:p>
    <w:p>
      <w:pPr>
        <w:ind w:left="259" w:hanging="173"/>
      </w:pPr>
      <w:r>
        <w:rPr>
          <w:b/>
        </w:rPr>
        <w:t xml:space="preserve">• </w:t>
      </w:r>
      <w:r>
        <w:t>Las rutas externas planificadas sólo se incorporan al contrato cuando una HU las implemente y pruebe.</w:t>
      </w:r>
    </w:p>
    <w:p>
      <w:pPr>
        <w:ind w:left="259" w:hanging="173"/>
      </w:pPr>
      <w:r>
        <w:rPr>
          <w:b/>
        </w:rPr>
        <w:t xml:space="preserve">• </w:t>
      </w:r>
      <w:r>
        <w:t>OpenAPI de Sprint 9 representa el estado real y no una lista aspiracional de endpoints.</w:t>
      </w:r>
    </w:p>
    <w:p>
      <w:pPr>
        <w:ind w:left="259" w:hanging="173"/>
      </w:pPr>
      <w:r>
        <w:rPr>
          <w:b/>
        </w:rPr>
        <w:t xml:space="preserve">• </w:t>
      </w:r>
      <w:r>
        <w:t>La ausencia temporal de un proveedor externo no invalida el núcleo ya persistido cuando la operación de negocio fue confirmada.</w:t>
      </w:r>
    </w:p>
    <w:p>
      <w:pPr>
        <w:pStyle w:val="Heading1"/>
      </w:pPr>
      <w:r>
        <w:t>16. Conclusión</w:t>
      </w:r>
    </w:p>
    <w:p>
      <w:r>
        <w:t>La arquitectura de APIs mantiene a NestJS y PostgreSQL como autoridades de negocio. Resend, Google OAuth, Google Calendar y visualización de sedes con OpenStreetMap/Google Maps son capacidades incorporadas por PR fusionadas; WhatsApp fue excluida formalmente. Continúan pendientes las tareas de documentación OpenAPI, estabilización y reconciliación de la base local experimental.</w:t>
      </w:r>
    </w:p>
    <w:p/>
    <w:p>
      <w:r>
        <w:rPr>
          <w:b/>
        </w:rPr>
        <w:t>Actualización documental — 16 de octubre de 2026</w:t>
      </w:r>
    </w:p>
    <w:p>
      <w:r>
        <w:t>Precaución local: citajusta_dev conserva una migración experimental de WhatsApp ya aplicada, ausente del árbol actual de migraciones. La reconciliación permanece pendiente de decisión y ensayo en base aislada; no usar reset, db push ni E2E con escrituras sobre esa base como atajo.</w:t>
      </w:r>
    </w:p>
    <w:p>
      <w:r>
        <w:t>Nota de versionado: la versión base v0.2 era del 04-10-2026; este documento incluye una actualización de alcance al 16-10-2026, sin modificar los acuerdos históricos consignados en el control de versiones.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1"/>
        <w:sz w:val="14"/>
      </w:rPr>
      <w:t xml:space="preserve">CitaJusta — Arquitectura de APIs — v0.2 · </w:t>
    </w:r>
    <w: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2354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354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A6B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2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