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5B6573"/>
          <w:sz w:val="22"/>
        </w:rPr>
        <w:t>CITAJUSTA</w:t>
      </w:r>
    </w:p>
    <w:p>
      <w:pPr>
        <w:pStyle w:val="Title"/>
        <w:spacing w:after="80"/>
      </w:pPr>
      <w:r>
        <w:t>Arquitectura de Software</w:t>
      </w:r>
    </w:p>
    <w:p>
      <w:r>
        <w:rPr>
          <w:b/>
        </w:rPr>
        <w:t>Proyecto de Título · Ingeniería en Informática</w:t>
      </w:r>
    </w:p>
    <w:p>
      <w:pPr>
        <w:spacing w:after="20"/>
      </w:pPr>
      <w:r>
        <w:rPr>
          <w:b/>
        </w:rPr>
        <w:t xml:space="preserve">Sede: </w:t>
      </w:r>
      <w:r>
        <w:t>Duoc UC Puente Alto</w:t>
      </w:r>
    </w:p>
    <w:p>
      <w:pPr>
        <w:spacing w:after="20"/>
      </w:pPr>
      <w:r>
        <w:rPr>
          <w:b/>
        </w:rPr>
        <w:t xml:space="preserve">Versión: </w:t>
      </w:r>
      <w:r>
        <w:t>0.2</w:t>
      </w:r>
    </w:p>
    <w:p>
      <w:pPr>
        <w:spacing w:after="20"/>
      </w:pPr>
      <w:r>
        <w:rPr>
          <w:b/>
        </w:rPr>
        <w:t xml:space="preserve">Estado: </w:t>
      </w:r>
      <w:r>
        <w:t>Actualización arquitectónica</w:t>
      </w:r>
    </w:p>
    <w:p>
      <w:pPr>
        <w:spacing w:after="20"/>
      </w:pPr>
      <w:r>
        <w:rPr>
          <w:b/>
        </w:rPr>
        <w:t xml:space="preserve">Fecha: </w:t>
      </w:r>
      <w:r>
        <w:t>04 de octubre de 2026</w:t>
      </w:r>
    </w:p>
    <w:p>
      <w:pPr>
        <w:spacing w:before="400" w:after="300"/>
        <w:jc w:val="center"/>
      </w:pPr>
      <w:r>
        <w:drawing>
          <wp:inline xmlns:a="http://schemas.openxmlformats.org/drawingml/2006/main" xmlns:pic="http://schemas.openxmlformats.org/drawingml/2006/picture">
            <wp:extent cx="2148840" cy="2148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Integrantes</w:t>
      </w:r>
    </w:p>
    <w:p>
      <w:pPr>
        <w:spacing w:after="20"/>
        <w:ind w:left="259"/>
      </w:pPr>
      <w:r>
        <w:t>• Matías Andrés Torres</w:t>
      </w:r>
    </w:p>
    <w:p>
      <w:pPr>
        <w:spacing w:after="20"/>
        <w:ind w:left="259"/>
      </w:pPr>
      <w:r>
        <w:t>• Bastian Sepúlveda</w:t>
      </w:r>
    </w:p>
    <w:p>
      <w:pPr>
        <w:spacing w:after="20"/>
        <w:ind w:left="259"/>
      </w:pPr>
      <w:r>
        <w:t>• Diego Simon</w:t>
      </w:r>
    </w:p>
    <w:p>
      <w:r>
        <w:rPr>
          <w:b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B2D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520"/>
            <w:shd w:fill="0B2D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520"/>
            <w:shd w:fill="0B2D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520"/>
            <w:shd w:fill="0B2D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0.1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25-08-2026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Equipo CitaJusta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Creación inicial del documento.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04-10-2026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Equipo CitaJusta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Actualización al estado real del repositorio e incorporación del plan de integraciones externas HU-039 a HU-043.</w:t>
            </w:r>
          </w:p>
        </w:tc>
      </w:tr>
    </w:tbl>
    <w:p>
      <w:r>
        <w:br w:type="page"/>
      </w:r>
    </w:p>
    <w:p>
      <w:pPr>
        <w:pStyle w:val="Heading1"/>
      </w:pPr>
      <w:r>
        <w:t>1. Propósito y estado de la arquitectura</w:t>
      </w:r>
    </w:p>
    <w:p>
      <w:r>
        <w:t>La arquitectura vigente a 16-10-2026 conserva el monorepo con aplicaciones Web/React y Desktop/Tauri, una API NestJS, PostgreSQL y Prisma 7.10.0. Esta revisión registra HU-039 a HU-042 integradas y HU-043 excluida del alcance; no introduce un nuevo diseño arquitectónico.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2D4D"/>
                <w:sz w:val="18"/>
              </w:rPr>
              <w:t>Estado verificado al 16-10-2026: Web y Desktop operativos; HU-039 Resend, HU-040 Google OAuth, HU-041 Google Calendar y HU-042 OSM/enlaces Google Maps integradas y fusionadas. HU-043 fue excluida y no se considera implementada.</w:t>
            </w:r>
          </w:p>
        </w:tc>
      </w:tr>
    </w:tbl>
    <w:p>
      <w:pPr>
        <w:spacing w:after="0"/>
      </w:pPr>
    </w:p>
    <w:p>
      <w:pPr>
        <w:pStyle w:val="Heading1"/>
      </w:pPr>
      <w:r>
        <w:t>2. Arquitectura de alto nivel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3168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Componentes actuales</w:t>
            </w:r>
          </w:p>
        </w:tc>
        <w:tc>
          <w:tcPr>
            <w:tcW w:type="dxa" w:w="5472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Clientes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apps/web · apps/desktop</w:t>
            </w:r>
          </w:p>
        </w:tc>
        <w:tc>
          <w:tcPr>
            <w:tcW w:type="dxa" w:w="54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Presentación, captura de intención y consumo de API. No deciden autorización ni reglas críticas.</w:t>
            </w:r>
          </w:p>
        </w:tc>
      </w:tr>
      <w:tr>
        <w:tc>
          <w:tcPr>
            <w:tcW w:type="dxa" w:w="201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Código compartido</w:t>
            </w:r>
          </w:p>
        </w:tc>
        <w:tc>
          <w:tcPr>
            <w:tcW w:type="dxa" w:w="316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packages/client-core</w:t>
            </w:r>
          </w:p>
        </w:tc>
        <w:tc>
          <w:tcPr>
            <w:tcW w:type="dxa" w:w="547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Cliente HTTP/sesión y contratos compartidos entre clientes cuando corresponde.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apps/api · NestJS</w:t>
            </w:r>
          </w:p>
        </w:tc>
        <w:tc>
          <w:tcPr>
            <w:tcW w:type="dxa" w:w="54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API REST, Auth/RBAC, contexto institucional, dominio, transacciones, auditoría, reportes y coordinación de integraciones.</w:t>
            </w:r>
          </w:p>
        </w:tc>
      </w:tr>
      <w:tr>
        <w:tc>
          <w:tcPr>
            <w:tcW w:type="dxa" w:w="201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Persistencia</w:t>
            </w:r>
          </w:p>
        </w:tc>
        <w:tc>
          <w:tcPr>
            <w:tcW w:type="dxa" w:w="316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PostgreSQL + Prisma 7.10.0</w:t>
            </w:r>
          </w:p>
        </w:tc>
        <w:tc>
          <w:tcPr>
            <w:tcW w:type="dxa" w:w="547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Fuente de verdad, relaciones, constraints, migraciones y soporte transaccional.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Integraciones externas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HU-039 Resend · HU-040 OAuth/OIDC · HU-041 Calendar · HU-042 OpenStreetMap/Google Maps (implementadas); HU-043 excluida</w:t>
            </w:r>
          </w:p>
        </w:tc>
        <w:tc>
          <w:tcPr>
            <w:tcW w:type="dxa" w:w="54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Adaptadores externos sin autoridad sobre el estado del dominio.</w:t>
            </w:r>
          </w:p>
        </w:tc>
      </w:tr>
    </w:tbl>
    <w:p>
      <w:pPr>
        <w:spacing w:after="0"/>
      </w:pPr>
    </w:p>
    <w:p>
      <w:pPr>
        <w:pStyle w:val="Heading1"/>
      </w:pPr>
      <w:r>
        <w:t>3. Stack técnico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7056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Tecnología / versión observada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Runtime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Node.js 24.x</w:t>
            </w:r>
          </w:p>
        </w:tc>
      </w:tr>
      <w:tr>
        <w:tc>
          <w:tcPr>
            <w:tcW w:type="dxa" w:w="302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70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NestJS 12 + TypeScript strict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Persistencia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PostgreSQL + Prisma 7.10.0</w:t>
            </w:r>
          </w:p>
        </w:tc>
      </w:tr>
      <w:tr>
        <w:tc>
          <w:tcPr>
            <w:tcW w:type="dxa" w:w="302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Web</w:t>
            </w:r>
          </w:p>
        </w:tc>
        <w:tc>
          <w:tcPr>
            <w:tcW w:type="dxa" w:w="70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React 19 + Vite 8 + TypeScript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Desktop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Tauri 2 + React + Vite + TypeScript</w:t>
            </w:r>
          </w:p>
        </w:tc>
      </w:tr>
      <w:tr>
        <w:tc>
          <w:tcPr>
            <w:tcW w:type="dxa" w:w="302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Monorepo</w:t>
            </w:r>
          </w:p>
        </w:tc>
        <w:tc>
          <w:tcPr>
            <w:tcW w:type="dxa" w:w="70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npm workspaces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Pruebas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node:test + E2E reales con PostgreSQL para backend crítico</w:t>
            </w:r>
          </w:p>
        </w:tc>
      </w:tr>
    </w:tbl>
    <w:p>
      <w:pPr>
        <w:spacing w:after="0"/>
      </w:pPr>
    </w:p>
    <w:p>
      <w:pPr>
        <w:pStyle w:val="Heading1"/>
      </w:pPr>
      <w:r>
        <w:t>4. Principios arquitectónicos</w:t>
      </w:r>
    </w:p>
    <w:p>
      <w:pPr>
        <w:ind w:left="259" w:hanging="173"/>
      </w:pPr>
      <w:r>
        <w:rPr>
          <w:b/>
        </w:rPr>
        <w:t xml:space="preserve">• </w:t>
      </w:r>
      <w:r>
        <w:t>Backend como autoridad para identidad, permisos, tenant, elegibilidad, disponibilidad, ranking y transiciones de estado.</w:t>
      </w:r>
    </w:p>
    <w:p>
      <w:pPr>
        <w:ind w:left="259" w:hanging="173"/>
      </w:pPr>
      <w:r>
        <w:rPr>
          <w:b/>
        </w:rPr>
        <w:t xml:space="preserve">• </w:t>
      </w:r>
      <w:r>
        <w:t>Monolito modular: límites por dominio sin introducir microservicios prematuramente.</w:t>
      </w:r>
    </w:p>
    <w:p>
      <w:pPr>
        <w:ind w:left="259" w:hanging="173"/>
      </w:pPr>
      <w:r>
        <w:rPr>
          <w:b/>
        </w:rPr>
        <w:t xml:space="preserve">• </w:t>
      </w:r>
      <w:r>
        <w:t>Integridad transaccional y trazabilidad por sobre conveniencia de UI.</w:t>
      </w:r>
    </w:p>
    <w:p>
      <w:pPr>
        <w:ind w:left="259" w:hanging="173"/>
      </w:pPr>
      <w:r>
        <w:rPr>
          <w:b/>
        </w:rPr>
        <w:t xml:space="preserve">• </w:t>
      </w:r>
      <w:r>
        <w:t>DTOs controlados y TypeScript strict; evitar any y soluciones temporales que degraden mantenibilidad.</w:t>
      </w:r>
    </w:p>
    <w:p>
      <w:pPr>
        <w:ind w:left="259" w:hanging="173"/>
      </w:pPr>
      <w:r>
        <w:rPr>
          <w:b/>
        </w:rPr>
        <w:t xml:space="preserve">• </w:t>
      </w:r>
      <w:r>
        <w:t>No agregar dependencias, tablas o migraciones si una HU puede resolverse correctamente con la arquitectura existente.</w:t>
      </w:r>
    </w:p>
    <w:p>
      <w:pPr>
        <w:ind w:left="259" w:hanging="173"/>
      </w:pPr>
      <w:r>
        <w:rPr>
          <w:b/>
        </w:rPr>
        <w:t xml:space="preserve">• </w:t>
      </w:r>
      <w:r>
        <w:t>Las integraciones externas se implementan como adaptadores, no como lógica distribuida en los clientes.</w:t>
      </w:r>
    </w:p>
    <w:p>
      <w:pPr>
        <w:pStyle w:val="Heading1"/>
      </w:pPr>
      <w:r>
        <w:t>5. Clientes</w:t>
      </w:r>
    </w:p>
    <w:p>
      <w:pPr>
        <w:pStyle w:val="Heading2"/>
      </w:pPr>
      <w:r>
        <w:t>5.1 Aplicación Web</w:t>
      </w:r>
    </w:p>
    <w:p>
      <w:r>
        <w:t>La Web cubre el flujo del usuario final: autenticación, búsqueda y disponibilidad, reserva, Mis citas, cancelación, lista de espera/preferencias, ofertas y notificaciones internas. La modernización de UX de ofertas se cerró como HU-035.</w:t>
      </w:r>
    </w:p>
    <w:p>
      <w:pPr>
        <w:pStyle w:val="Heading2"/>
      </w:pPr>
      <w:r>
        <w:t>5.2 Aplicación Desktop</w:t>
      </w:r>
    </w:p>
    <w:p>
      <w:r>
        <w:t>La aplicación institucional Tauri 2 consume la misma API y habilita capacidades según permisos, no por rol fijo. Al corte v0.2 incluye gestión de sedes/servicios, profesionales, agenda, disponibilidad/bloqueos, asistencia, supervisión de reasignaciones, reportes y auditoría. Reportes y Auditoría son read-only.</w:t>
      </w:r>
    </w:p>
    <w:p>
      <w:pPr>
        <w:pStyle w:val="Heading1"/>
      </w:pPr>
      <w:r>
        <w:t>6. Backend modular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7848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Módulos reales / responsabilidades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Seguridad</w:t>
            </w:r>
          </w:p>
        </w:tc>
        <w:tc>
          <w:tcPr>
            <w:tcW w:type="dxa" w:w="78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auth, authorization, users, sessions implícitas en Auth: JWT, RBAC y contexto.</w:t>
            </w:r>
          </w:p>
        </w:tc>
      </w:tr>
      <w:tr>
        <w:tc>
          <w:tcPr>
            <w:tcW w:type="dxa" w:w="223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Organización</w:t>
            </w:r>
          </w:p>
        </w:tc>
        <w:tc>
          <w:tcPr>
            <w:tcW w:type="dxa" w:w="784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institutions, services, professionals y relaciones institucionales.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Agenda</w:t>
            </w:r>
          </w:p>
        </w:tc>
        <w:tc>
          <w:tcPr>
            <w:tcW w:type="dxa" w:w="78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availability, agenda, appointments y estados operativos.</w:t>
            </w:r>
          </w:p>
        </w:tc>
      </w:tr>
      <w:tr>
        <w:tc>
          <w:tcPr>
            <w:tcW w:type="dxa" w:w="223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Lista de espera</w:t>
            </w:r>
          </w:p>
        </w:tc>
        <w:tc>
          <w:tcPr>
            <w:tcW w:type="dxa" w:w="784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waitlist y preferencias.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Reasignación</w:t>
            </w:r>
          </w:p>
        </w:tc>
        <w:tc>
          <w:tcPr>
            <w:tcW w:type="dxa" w:w="78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reassignments, reassignment-policy, ofertas, ranking/snapshots y continuidad.</w:t>
            </w:r>
          </w:p>
        </w:tc>
      </w:tr>
      <w:tr>
        <w:tc>
          <w:tcPr>
            <w:tcW w:type="dxa" w:w="223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Comunicación</w:t>
            </w:r>
          </w:p>
        </w:tc>
        <w:tc>
          <w:tcPr>
            <w:tcW w:type="dxa" w:w="784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notifications internas + correo Resend en flujo asíncrono controlado; sin canal WhatsApp activo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Control</w:t>
            </w:r>
          </w:p>
        </w:tc>
        <w:tc>
          <w:tcPr>
            <w:tcW w:type="dxa" w:w="78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audit y trazabilidad de eventos relevantes.</w:t>
            </w:r>
          </w:p>
        </w:tc>
      </w:tr>
      <w:tr>
        <w:tc>
          <w:tcPr>
            <w:tcW w:type="dxa" w:w="223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Analítica</w:t>
            </w:r>
          </w:p>
        </w:tc>
        <w:tc>
          <w:tcPr>
            <w:tcW w:type="dxa" w:w="784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reports institucionales read-only.</w:t>
            </w:r>
          </w:p>
        </w:tc>
      </w:tr>
    </w:tbl>
    <w:p>
      <w:pPr>
        <w:spacing w:after="0"/>
      </w:pPr>
    </w:p>
    <w:p>
      <w:pPr>
        <w:pStyle w:val="Heading1"/>
      </w:pPr>
      <w:r>
        <w:t>7. Persistencia, transacciones y reglas críticas</w:t>
      </w:r>
    </w:p>
    <w:p>
      <w:r>
        <w:t>PostgreSQL conserva el estado autoritativo. Prisma 7.10.0 se mantiene como versión acordada. Las operaciones críticas deben ser atómicas y respetar las reglas ya implementadas del dominio.</w:t>
      </w:r>
    </w:p>
    <w:p>
      <w:pPr>
        <w:ind w:left="259" w:hanging="173"/>
      </w:pPr>
      <w:r>
        <w:rPr>
          <w:b/>
        </w:rPr>
        <w:t xml:space="preserve">• </w:t>
      </w:r>
      <w:r>
        <w:t>Appointment.agendaSlotId / citas.cupo_id es único.</w:t>
      </w:r>
    </w:p>
    <w:p>
      <w:pPr>
        <w:ind w:left="259" w:hanging="173"/>
      </w:pPr>
      <w:r>
        <w:rPr>
          <w:b/>
        </w:rPr>
        <w:t xml:space="preserve">• </w:t>
      </w:r>
      <w:r>
        <w:t>Una reasignación nunca crea una segunda Appointment para el mismo slot.</w:t>
      </w:r>
    </w:p>
    <w:p>
      <w:pPr>
        <w:ind w:left="259" w:hanging="173"/>
      </w:pPr>
      <w:r>
        <w:rPr>
          <w:b/>
        </w:rPr>
        <w:t xml:space="preserve">• </w:t>
      </w:r>
      <w:r>
        <w:t>La aceptación reutiliza/transfiere la Appointment existente asociada al slot RELEASED.</w:t>
      </w:r>
    </w:p>
    <w:p>
      <w:pPr>
        <w:ind w:left="259" w:hanging="173"/>
      </w:pPr>
      <w:r>
        <w:rPr>
          <w:b/>
        </w:rPr>
        <w:t xml:space="preserve">• </w:t>
      </w:r>
      <w:r>
        <w:t>AgendaSlot usa lockVersion; la concurrencia se resuelve con control optimista/transaccional, no locks en memoria.</w:t>
      </w:r>
    </w:p>
    <w:p>
      <w:pPr>
        <w:ind w:left="259" w:hanging="173"/>
      </w:pPr>
      <w:r>
        <w:rPr>
          <w:b/>
        </w:rPr>
        <w:t xml:space="preserve">• </w:t>
      </w:r>
      <w:r>
        <w:t>Se mantienen snapshots e historiales necesarios para trazabilidad y no se alteran retroactivamente decisiones cerradas.</w:t>
      </w:r>
    </w:p>
    <w:p>
      <w:pPr>
        <w:ind w:left="259" w:hanging="173"/>
      </w:pPr>
      <w:r>
        <w:rPr>
          <w:b/>
        </w:rPr>
        <w:t xml:space="preserve">• </w:t>
      </w:r>
      <w:r>
        <w:t>Serializable + retry acotado se aplica cuando corresponde a los patrones existentes y sólo ante conflictos reconocidos.</w:t>
      </w:r>
    </w:p>
    <w:p>
      <w:pPr>
        <w:pStyle w:val="Heading1"/>
      </w:pPr>
      <w:r>
        <w:t>8. Seguridad y aislamiento multi-tenant</w:t>
      </w:r>
    </w:p>
    <w:p>
      <w:pPr>
        <w:ind w:left="259" w:hanging="173"/>
      </w:pPr>
      <w:r>
        <w:rPr>
          <w:b/>
        </w:rPr>
        <w:t xml:space="preserve">• </w:t>
      </w:r>
      <w:r>
        <w:t>RBAC y AuthorizationContext se mantienen como arquitectura base.</w:t>
      </w:r>
    </w:p>
    <w:p>
      <w:pPr>
        <w:ind w:left="259" w:hanging="173"/>
      </w:pPr>
      <w:r>
        <w:rPr>
          <w:b/>
        </w:rPr>
        <w:t xml:space="preserve">• </w:t>
      </w:r>
      <w:r>
        <w:t>Institución/sede/actor se derivan del contexto autenticado y no del body del cliente.</w:t>
      </w:r>
    </w:p>
    <w:p>
      <w:pPr>
        <w:ind w:left="259" w:hanging="173"/>
      </w:pPr>
      <w:r>
        <w:rPr>
          <w:b/>
        </w:rPr>
        <w:t xml:space="preserve">• </w:t>
      </w:r>
      <w:r>
        <w:t>Lecturas y escrituras institucionales filtran el tenant autorizado y previenen IDOR/cross-tenant.</w:t>
      </w:r>
    </w:p>
    <w:p>
      <w:pPr>
        <w:ind w:left="259" w:hanging="173"/>
      </w:pPr>
      <w:r>
        <w:rPr>
          <w:b/>
        </w:rPr>
        <w:t xml:space="preserve">• </w:t>
      </w:r>
      <w:r>
        <w:t>Los DTOs no exponen secretos ni modelos Prisma completos.</w:t>
      </w:r>
    </w:p>
    <w:p>
      <w:pPr>
        <w:ind w:left="259" w:hanging="173"/>
      </w:pPr>
      <w:r>
        <w:rPr>
          <w:b/>
        </w:rPr>
        <w:t xml:space="preserve">• </w:t>
      </w:r>
      <w:r>
        <w:t>Logs técnicos y auditoría son mecanismos distintos; ambos deben evitar PII y secretos innecesarios.</w:t>
      </w:r>
    </w:p>
    <w:p>
      <w:pPr>
        <w:pStyle w:val="Heading1"/>
      </w:pPr>
      <w:r>
        <w:t>9. Notificaciones internas e integraciones externas</w:t>
      </w:r>
    </w:p>
    <w:p>
      <w:r>
        <w:t>HU-024 provee notificaciones internas. HU-039 añade correos externos por Resend con entrega asíncrona controlada. HU-040 añade Google OAuth/OIDC; HU-041 exportación puntual a Google Calendar; HU-042 visualización de sede con OpenStreetMap y enlaces Google Maps. Todas conservan el backend y PostgreSQL como autoridad y deben tolerar fallas externas.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Integración</w:t>
            </w:r>
          </w:p>
        </w:tc>
        <w:tc>
          <w:tcPr>
            <w:tcW w:type="dxa" w:w="3456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Rol en la arquitectura</w:t>
            </w:r>
          </w:p>
        </w:tc>
        <w:tc>
          <w:tcPr>
            <w:tcW w:type="dxa" w:w="5184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Decisión v0.2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Resend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Transporte de correo transaccional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Primera integración externa; backend desacoplado del SDK/proveedor concreto mediante adaptador.</w:t>
            </w:r>
          </w:p>
        </w:tc>
      </w:tr>
      <w:tr>
        <w:tc>
          <w:tcPr>
            <w:tcW w:type="dxa" w:w="230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Google OAuth/OIDC</w:t>
            </w:r>
          </w:p>
        </w:tc>
        <w:tc>
          <w:tcPr>
            <w:tcW w:type="dxa" w:w="34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Identidad federada adicional</w:t>
            </w:r>
          </w:p>
        </w:tc>
        <w:tc>
          <w:tcPr>
            <w:tcW w:type="dxa" w:w="518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Vincula identidad externa con usuario local; permisos y sesión CitaJusta siguen siendo locales.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Google Calendar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Exportación de cita confirmada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Copia autorizada por el usuario; no fuente de verdad ni sincronización bidireccional por defecto.</w:t>
            </w:r>
          </w:p>
        </w:tc>
      </w:tr>
      <w:tr>
        <w:tc>
          <w:tcPr>
            <w:tcW w:type="dxa" w:w="230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OpenStreetMap / enlaces Google Maps</w:t>
            </w:r>
          </w:p>
        </w:tc>
        <w:tc>
          <w:tcPr>
            <w:tcW w:type="dxa" w:w="34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Mapa/indicaciones de sede</w:t>
            </w:r>
          </w:p>
        </w:tc>
        <w:tc>
          <w:tcPr>
            <w:tcW w:type="dxa" w:w="518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Iframe oficial OSM y enlaces Google Maps con datos de Branch; sin Google Maps Platform API.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WhatsApp — FUERA DE ALCANCE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Canal descartado del producto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HU-043 retirada 15-10; PR #169 documentó la decisión; no existe integración activa.</w:t>
            </w:r>
          </w:p>
        </w:tc>
      </w:tr>
    </w:tbl>
    <w:p>
      <w:pPr>
        <w:spacing w:after="0"/>
      </w:pPr>
    </w:p>
    <w:p>
      <w:pPr>
        <w:pStyle w:val="Heading1"/>
      </w:pPr>
      <w:r>
        <w:t>10. Diseño de la capa de integración</w:t>
      </w:r>
    </w:p>
    <w:p>
      <w:r>
        <w:t>La frontera de proveedores debe permanecer en las capacidades existentes de la API o del cliente según el diseño implementado. No presupone módulos genéricos, SDKs, dependencias ni tablas futuras; el flujo Resend ya dispone de mecanismos controlados de entrega.</w:t>
      </w:r>
    </w:p>
    <w:p>
      <w:pPr>
        <w:ind w:left="259" w:hanging="173"/>
      </w:pPr>
      <w:r>
        <w:rPr>
          <w:b/>
        </w:rPr>
        <w:t xml:space="preserve">• </w:t>
      </w:r>
      <w:r>
        <w:t>Interfaces pequeñas orientadas a capacidades, no a proveedores.</w:t>
      </w:r>
    </w:p>
    <w:p>
      <w:pPr>
        <w:ind w:left="259" w:hanging="173"/>
      </w:pPr>
      <w:r>
        <w:rPr>
          <w:b/>
        </w:rPr>
        <w:t xml:space="preserve">• </w:t>
      </w:r>
      <w:r>
        <w:t>Configuración por ambiente y secretos fuera del código fuente.</w:t>
      </w:r>
    </w:p>
    <w:p>
      <w:pPr>
        <w:ind w:left="259" w:hanging="173"/>
      </w:pPr>
      <w:r>
        <w:rPr>
          <w:b/>
        </w:rPr>
        <w:t xml:space="preserve">• </w:t>
      </w:r>
      <w:r>
        <w:t>Timeouts y reintentos acotados; fallos externos no se convierten en errores de negocio internos arbitrarios.</w:t>
      </w:r>
    </w:p>
    <w:p>
      <w:pPr>
        <w:ind w:left="259" w:hanging="173"/>
      </w:pPr>
      <w:r>
        <w:rPr>
          <w:b/>
        </w:rPr>
        <w:t xml:space="preserve">• </w:t>
      </w:r>
      <w:r>
        <w:t>Idempotencia/deduplicación definida por evento cuando sea necesaria.</w:t>
      </w:r>
    </w:p>
    <w:p>
      <w:pPr>
        <w:ind w:left="259" w:hanging="173"/>
      </w:pPr>
      <w:r>
        <w:rPr>
          <w:b/>
        </w:rPr>
        <w:t xml:space="preserve">• </w:t>
      </w:r>
      <w:r>
        <w:t>Pruebas unitarias con dobles del proveedor y validación controlada de integración real.</w:t>
      </w:r>
    </w:p>
    <w:p>
      <w:pPr>
        <w:pStyle w:val="Heading1"/>
      </w:pPr>
      <w:r>
        <w:t>11. Reglas específicas de Google</w:t>
      </w:r>
    </w:p>
    <w:p>
      <w:pPr>
        <w:pStyle w:val="Heading2"/>
      </w:pPr>
      <w:r>
        <w:t>11.1 OAuth / OIDC</w:t>
      </w:r>
    </w:p>
    <w:p>
      <w:r>
        <w:t>Google OAuth/OIDC está incorporado como método adicional de inicio de sesión (HU-040, PR #156), sin reemplazar las cuentas locales ni permitir que claims de Google otorguen RBAC o contexto institucional.</w:t>
      </w:r>
    </w:p>
    <w:p>
      <w:pPr>
        <w:pStyle w:val="Heading2"/>
      </w:pPr>
      <w:r>
        <w:t>11.2 Calendar</w:t>
      </w:r>
    </w:p>
    <w:p>
      <w:r>
        <w:t>La incorporación a Google Calendar es una copia puntual y explícita de una cita propia AGENDADA con consentimiento de usuario (HU-041, PR #159). No se sincronizan cambios externos hacia CitaJusta.</w:t>
      </w:r>
    </w:p>
    <w:p>
      <w:pPr>
        <w:pStyle w:val="Heading2"/>
      </w:pPr>
      <w:r>
        <w:t>11.3 Maps</w:t>
      </w:r>
    </w:p>
    <w:p>
      <w:r>
        <w:t>HU-042 (PR #163) presenta ubicaciones de sedes mediante iframe OpenStreetMap y enlaces a rutas en Google Maps con dirección o coordenadas reales existentes. No usa Google Maps JavaScript/Embed/Places API, claves de plataforma ni geocodificación nueva.</w:t>
      </w:r>
    </w:p>
    <w:p>
      <w:pPr>
        <w:pStyle w:val="Heading1"/>
      </w:pPr>
      <w:r>
        <w:t>12. Privacidad y manejo de datos externos</w:t>
      </w:r>
    </w:p>
    <w:p>
      <w:pPr>
        <w:ind w:left="259" w:hanging="173"/>
      </w:pPr>
      <w:r>
        <w:rPr>
          <w:b/>
        </w:rPr>
        <w:t xml:space="preserve">• </w:t>
      </w:r>
      <w:r>
        <w:t>Principio de minimización: sólo compartir datos imprescindibles para el propósito.</w:t>
      </w:r>
    </w:p>
    <w:p>
      <w:pPr>
        <w:ind w:left="259" w:hanging="173"/>
      </w:pPr>
      <w:r>
        <w:rPr>
          <w:b/>
        </w:rPr>
        <w:t xml:space="preserve">• </w:t>
      </w:r>
      <w:r>
        <w:t>No enviar RBAC interno, refresh tokens, hashes, historiales completos ni auditoría a proveedores.</w:t>
      </w:r>
    </w:p>
    <w:p>
      <w:pPr>
        <w:ind w:left="259" w:hanging="173"/>
      </w:pPr>
      <w:r>
        <w:rPr>
          <w:b/>
        </w:rPr>
        <w:t xml:space="preserve">• </w:t>
      </w:r>
      <w:r>
        <w:t>Las credenciales y tokens de terceros se protegen por ambiente y no se registran en claro.</w:t>
      </w:r>
    </w:p>
    <w:p>
      <w:pPr>
        <w:ind w:left="259" w:hanging="173"/>
      </w:pPr>
      <w:r>
        <w:rPr>
          <w:b/>
        </w:rPr>
        <w:t>• HU-043/WhatsApp queda fuera del alcance vigente desde el 15-10-2026; no presentar consentimiento, plantillas o mensajes experimentales como funcionalidad de producción.</w:t>
      </w:r>
      <w:r/>
    </w:p>
    <w:p>
      <w:pPr>
        <w:ind w:left="259" w:hanging="173"/>
      </w:pPr>
      <w:r>
        <w:rPr>
          <w:b/>
        </w:rPr>
        <w:t xml:space="preserve">• </w:t>
      </w:r>
      <w:r>
        <w:t>La documentación describe medidas técnicas y decisiones; no afirma certificación o cumplimiento legal absoluto.</w:t>
      </w:r>
    </w:p>
    <w:p>
      <w:pPr>
        <w:pStyle w:val="Heading1"/>
      </w:pPr>
      <w:r>
        <w:t>13. Despliegue y ambientes</w:t>
      </w:r>
    </w:p>
    <w:p>
      <w:r>
        <w:t>La arquitectura no queda acoplada a un proveedor cloud específico. Web, Desktop, API y PostgreSQL mantienen configuraciones por ambiente. Docker/Docker Compose y la guía reproducible de despliegue se reservan para Sprint 9. La base de datos no se expone directamente a los clientes.</w:t>
      </w:r>
    </w:p>
    <w:p>
      <w:pPr>
        <w:pStyle w:val="Heading1"/>
      </w:pPr>
      <w:r>
        <w:t>14. Pruebas y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7488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Unitarias</w:t>
            </w:r>
          </w:p>
        </w:tc>
        <w:tc>
          <w:tcPr>
            <w:tcW w:type="dxa" w:w="74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Servicios, parsers, estados y adaptadores.</w:t>
            </w:r>
          </w:p>
        </w:tc>
      </w:tr>
      <w:tr>
        <w:tc>
          <w:tcPr>
            <w:tcW w:type="dxa" w:w="259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E2E backend</w:t>
            </w:r>
          </w:p>
        </w:tc>
        <w:tc>
          <w:tcPr>
            <w:tcW w:type="dxa" w:w="748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PostgreSQL real para HUs importantes y operaciones críticas.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Clientes</w:t>
            </w:r>
          </w:p>
        </w:tc>
        <w:tc>
          <w:tcPr>
            <w:tcW w:type="dxa" w:w="74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Tests de modelo/UI y builds TypeScript.</w:t>
            </w:r>
          </w:p>
        </w:tc>
      </w:tr>
      <w:tr>
        <w:tc>
          <w:tcPr>
            <w:tcW w:type="dxa" w:w="259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Integraciones externas</w:t>
            </w:r>
          </w:p>
        </w:tc>
        <w:tc>
          <w:tcPr>
            <w:tcW w:type="dxa" w:w="748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Mocks/fixtures del proveedor + prueba real controlada cuando corresponda.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Cierre técnico</w:t>
            </w:r>
          </w:p>
        </w:tc>
        <w:tc>
          <w:tcPr>
            <w:tcW w:type="dxa" w:w="74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Prisma validate, build, git diff --check y regresión dirigida antes de merge.</w:t>
            </w:r>
          </w:p>
        </w:tc>
      </w:tr>
    </w:tbl>
    <w:p>
      <w:pPr>
        <w:spacing w:after="0"/>
      </w:pPr>
    </w:p>
    <w:p>
      <w:pPr>
        <w:pStyle w:val="Heading1"/>
      </w:pPr>
      <w:r>
        <w:t>15. Decisiones y restricciones vigentes</w:t>
      </w:r>
    </w:p>
    <w:p>
      <w:pPr>
        <w:ind w:left="259" w:hanging="173"/>
      </w:pPr>
      <w:r>
        <w:rPr>
          <w:b/>
        </w:rPr>
        <w:t xml:space="preserve">• </w:t>
      </w:r>
      <w:r>
        <w:t>Prisma permanece en 7.10.0; no actualizar a Prisma 8 sin decisión explícita.</w:t>
      </w:r>
    </w:p>
    <w:p>
      <w:pPr>
        <w:ind w:left="259" w:hanging="173"/>
      </w:pPr>
      <w:r>
        <w:rPr>
          <w:b/>
        </w:rPr>
        <w:t xml:space="preserve">• </w:t>
      </w:r>
      <w:r>
        <w:t>No usar db push como sustituto de migraciones Prisma.</w:t>
      </w:r>
    </w:p>
    <w:p>
      <w:pPr>
        <w:ind w:left="259" w:hanging="173"/>
      </w:pPr>
      <w:r>
        <w:rPr>
          <w:b/>
        </w:rPr>
        <w:t xml:space="preserve">• </w:t>
      </w:r>
      <w:r>
        <w:t>No introducir microservicios, broker o cola externa sólo por anticipación.</w:t>
      </w:r>
    </w:p>
    <w:p>
      <w:pPr>
        <w:ind w:left="259" w:hanging="173"/>
      </w:pPr>
      <w:r>
        <w:rPr>
          <w:b/>
        </w:rPr>
        <w:t xml:space="preserve">• </w:t>
      </w:r>
      <w:r>
        <w:t>No usar locks en memoria para resolver concurrencia de dominio.</w:t>
      </w:r>
    </w:p>
    <w:p>
      <w:pPr>
        <w:ind w:left="259" w:hanging="173"/>
      </w:pPr>
      <w:r>
        <w:rPr>
          <w:b/>
        </w:rPr>
        <w:t xml:space="preserve">• </w:t>
      </w:r>
      <w:r>
        <w:t>No implementar requisitos futuros fuera de la HU activa.</w:t>
      </w:r>
    </w:p>
    <w:p>
      <w:pPr>
        <w:ind w:left="259" w:hanging="173"/>
      </w:pPr>
      <w:r>
        <w:rPr>
          <w:b/>
        </w:rPr>
        <w:t xml:space="preserve">• </w:t>
      </w:r>
      <w:r>
        <w:t>El backend continúa siendo fuente de verdad incluso cuando una integración externa tenga estado propio.</w:t>
      </w:r>
    </w:p>
    <w:p>
      <w:pPr>
        <w:pStyle w:val="Heading1"/>
      </w:pPr>
      <w:r>
        <w:t>16. Roadmap arquitectónico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6912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Sprint 7 — cerrado</w:t>
            </w:r>
          </w:p>
        </w:tc>
        <w:tc>
          <w:tcPr>
            <w:tcW w:type="dxa" w:w="69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Aplicación institucional Desktop hasta HU-038, incluyendo Reportes y Auditoría.</w:t>
            </w:r>
          </w:p>
        </w:tc>
      </w:tr>
      <w:tr>
        <w:tc>
          <w:tcPr>
            <w:tcW w:type="dxa" w:w="316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Sprint 8 — Integraciones externas</w:t>
            </w:r>
          </w:p>
        </w:tc>
        <w:tc>
          <w:tcPr>
            <w:tcW w:type="dxa" w:w="691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HU-039–HU-042: Issues cerradas y PR #153, #156, #159, #163 fusionadas. HU-043 retirada el 15-10 mediante PR documental #169; no implementada.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Sprint 9 — cierre técnico/académico</w:t>
            </w:r>
          </w:p>
        </w:tc>
        <w:tc>
          <w:tcPr>
            <w:tcW w:type="dxa" w:w="69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Docker/Compose, OpenAPI/Swagger, hardening, rendimiento, documentación/evidencias y preparación de entrega.</w:t>
            </w:r>
          </w:p>
        </w:tc>
      </w:tr>
    </w:tbl>
    <w:p>
      <w:pPr>
        <w:spacing w:after="0"/>
      </w:pPr>
    </w:p>
    <w:p>
      <w:pPr>
        <w:pStyle w:val="Heading1"/>
      </w:pPr>
      <w:r>
        <w:t>17. Trazabilidad arquitectónica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Necesidad</w:t>
            </w:r>
          </w:p>
        </w:tc>
        <w:tc>
          <w:tcPr>
            <w:tcW w:type="dxa" w:w="3744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3456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Integraciones sin duplicar lógica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Adaptadores backend y clientes delgados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Tests por HU y contratos reales.</w:t>
            </w:r>
          </w:p>
        </w:tc>
      </w:tr>
      <w:tr>
        <w:tc>
          <w:tcPr>
            <w:tcW w:type="dxa" w:w="2880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Identidad federada segura</w:t>
            </w:r>
          </w:p>
        </w:tc>
        <w:tc>
          <w:tcPr>
            <w:tcW w:type="dxa" w:w="374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Google no reemplaza RBAC/contexto local</w:t>
            </w:r>
          </w:p>
        </w:tc>
        <w:tc>
          <w:tcPr>
            <w:tcW w:type="dxa" w:w="34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Pruebas auth + autorización.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Calendar sin perder autoridad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CitaJusta conserva la cita oficial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Validación de exportación y manejo de errores.</w:t>
            </w:r>
          </w:p>
        </w:tc>
      </w:tr>
      <w:tr>
        <w:tc>
          <w:tcPr>
            <w:tcW w:type="dxa" w:w="2880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Ubicación de sede</w:t>
            </w:r>
          </w:p>
        </w:tc>
        <w:tc>
          <w:tcPr>
            <w:tcW w:type="dxa" w:w="374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Branch conserva dirección/coordenadas</w:t>
            </w:r>
          </w:p>
        </w:tc>
        <w:tc>
          <w:tcPr>
            <w:tcW w:type="dxa" w:w="34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Prueba con datos reales/ficticios de sede.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Canales externos resilientes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Fallo del proveedor separado del dominio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Pruebas timeout/retry/idempotencia.</w:t>
            </w:r>
          </w:p>
        </w:tc>
      </w:tr>
    </w:tbl>
    <w:p>
      <w:pPr>
        <w:spacing w:after="0"/>
      </w:pPr>
    </w:p>
    <w:p>
      <w:pPr>
        <w:pStyle w:val="Heading1"/>
      </w:pPr>
      <w:r>
        <w:t>18. Conclusión</w:t>
      </w:r>
    </w:p>
    <w:p>
      <w:r>
        <w:t>CitaJusta mantiene una arquitectura cliente-servidor y monolito modular con PostgreSQL como fuente de verdad. Web y Desktop consumen la misma API, y las integraciones implementadas (Resend, Google OAuth, Google Calendar, OpenStreetMap y enlaces Google Maps) no alteran permisos ni transacciones de negocio. WhatsApp se descartó del entregable; Sprint 9 conserva tareas de despliegue, OpenAPI y cierre técnico.</w:t>
      </w:r>
    </w:p>
    <w:p/>
    <w:p>
      <w:r>
        <w:rPr>
          <w:b/>
        </w:rPr>
        <w:t>Actualización documental — 16 de octubre de 2026</w:t>
      </w:r>
    </w:p>
    <w:p>
      <w:r>
        <w:t>HU-043/RF-043 (WhatsApp Cloud API) fue excluida del alcance entregable el 15-10-2026 por restricciones empresariales del proveedor Meta en el contexto académico. La integración experimental se retiró del código; la PR documental #169 fue fusionada a main. La Issue #165 figura cerrada como COMPLETED, pero ese motivo de cierre no acredita implementación. No existe canal WhatsApp activo en la entrega. El cambio queda trazado en Scrum y decisiones técnicas; no se reescribe el historial del Sprint originalmente planificado.</w:t>
      </w:r>
    </w:p>
    <w:p>
      <w:r>
        <w:t>Precaución local: citajusta_dev conserva una migración experimental de WhatsApp ya aplicada, ausente del árbol actual de migraciones. La reconciliación permanece pendiente de decisión y ensayo en base aislada; no usar reset, db push ni E2E con escrituras sobre esa base como atajo.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491"/>
        <w:sz w:val="14"/>
      </w:rPr>
      <w:t xml:space="preserve">CitaJusta — Arquitectura de Software — v0.2 · </w:t>
    </w:r>
    <w: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51560" cy="23540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3540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B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D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AA6B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2D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