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B50"/>
          <w:sz w:val="64"/>
        </w:rPr>
        <w:t>CitaJusta</w:t>
      </w:r>
    </w:p>
    <w:p>
      <w:pPr>
        <w:jc w:val="center"/>
      </w:pPr>
      <w:r>
        <w:rPr>
          <w:b/>
          <w:color w:val="008184"/>
          <w:sz w:val="46"/>
        </w:rPr>
        <w:t>Modelo entidad-relación</w:t>
      </w:r>
    </w:p>
    <w:p>
      <w:pPr>
        <w:jc w:val="center"/>
      </w:pPr>
      <w:r>
        <w:rPr>
          <w:color w:val="556774"/>
          <w:sz w:val="26"/>
        </w:rPr>
        <w:t>Base de datos PostgreSQL · Esquema Prisma · Proyecto Capstone Fase 2</w:t>
      </w:r>
    </w:p>
    <w:p>
      <w:pPr>
        <w:jc w:val="center"/>
      </w:pPr>
      <w:r>
        <w:rPr>
          <w:sz w:val="22"/>
        </w:rPr>
        <w:t>Versión documental 0.1    |    16 de octubre de 2026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9071"/>
      </w:tblGrid>
      <w:tr>
        <w:tc>
          <w:tcPr>
            <w:tcW w:type="dxa" w:w="7399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7399"/>
          </w:tcPr>
          <w:p>
            <w:r>
              <w:t>Contenido proporcionado del archivo apps/api/prisma/schema.prisma</w:t>
            </w:r>
          </w:p>
        </w:tc>
      </w:tr>
      <w:tr>
        <w:tc>
          <w:tcPr>
            <w:tcW w:type="dxa" w:w="7399"/>
          </w:tcPr>
          <w:p>
            <w:r>
              <w:rPr>
                <w:b/>
              </w:rPr>
              <w:t>Alcance</w:t>
            </w:r>
          </w:p>
        </w:tc>
        <w:tc>
          <w:tcPr>
            <w:tcW w:type="dxa" w:w="7399"/>
          </w:tcPr>
          <w:p>
            <w:r>
              <w:t>Modelo lógico declarativo; no certifica el esquema físico instalado</w:t>
            </w:r>
          </w:p>
        </w:tc>
      </w:tr>
      <w:tr>
        <w:tc>
          <w:tcPr>
            <w:tcW w:type="dxa" w:w="7399"/>
          </w:tcPr>
          <w:p>
            <w:r>
              <w:rPr>
                <w:b/>
              </w:rPr>
              <w:t>Inventario</w:t>
            </w:r>
          </w:p>
        </w:tc>
        <w:tc>
          <w:tcPr>
            <w:tcW w:type="dxa" w:w="7399"/>
          </w:tcPr>
          <w:p>
            <w:r>
              <w:t>42 modelos de tablas · 90 relaciones declaradas · 20 enums</w:t>
            </w:r>
          </w:p>
        </w:tc>
      </w:tr>
      <w:tr>
        <w:tc>
          <w:tcPr>
            <w:tcW w:type="dxa" w:w="7399"/>
          </w:tcPr>
          <w:p>
            <w:r>
              <w:rPr>
                <w:b/>
              </w:rPr>
              <w:t>Estado WhatsApp</w:t>
            </w:r>
          </w:p>
        </w:tc>
        <w:tc>
          <w:tcPr>
            <w:tcW w:type="dxa" w:w="7399"/>
          </w:tcPr>
          <w:p>
            <w:r>
              <w:t>Sin tablas experimentales de WhatsApp en el esquema vigente</w:t>
            </w:r>
          </w:p>
        </w:tc>
      </w:tr>
    </w:tbl>
    <w:p>
      <w:r>
        <w:rPr>
          <w:b/>
        </w:rPr>
        <w:t xml:space="preserve">Criterio documental. </w:t>
      </w:r>
      <w:r>
        <w:t>Las entidades se muestran mediante vistas por dominio. Una misma tabla puede aparecer en varias vistas como referencia; no implica duplicación física. Los tipos enum no cuentan como tablas.</w:t>
      </w:r>
    </w:p>
    <w:p>
      <w:r>
        <w:rPr>
          <w:b/>
        </w:rPr>
        <w:t xml:space="preserve">Nota de integridad local. </w:t>
      </w:r>
      <w:r>
        <w:t>La base citajusta_dev tenía una migración experimental de WhatsApp aplicada, sin archivo vigente en el repositorio. Este documento refleja únicamente el esquema Prisma proporcionado; la reconciliación de la base permanece pendiente y no se efectuaron cambios.</w:t>
      </w:r>
    </w:p>
    <w:p>
      <w:r>
        <w:br w:type="page"/>
      </w:r>
    </w:p>
    <w:p>
      <w:pPr>
        <w:pStyle w:val="Heading1"/>
      </w:pPr>
      <w:r>
        <w:t>1. Alcance, convenciones y cobertura</w:t>
      </w:r>
    </w:p>
    <w:p>
      <w:r>
        <w:t>El modelo se obtuvo directamente de las declaraciones model, @relation, @map, @id, @@id, @unique y @@unique del esquema Prisma proporcionado. Las denominaciones de entidades en los diagramas corresponden a las tablas físicas identificadas por @@map.</w:t>
      </w:r>
    </w:p>
    <w:p>
      <w:pPr>
        <w:pStyle w:val="Heading2"/>
      </w:pPr>
      <w:r>
        <w:t>Convenciones</w:t>
      </w:r>
    </w:p>
    <w:p>
      <w:pPr>
        <w:pStyle w:val="ListBullet"/>
      </w:pPr>
      <w:r>
        <w:t>PK: clave primaria de una entidad, simple o compuesta.</w:t>
      </w:r>
    </w:p>
    <w:p>
      <w:pPr>
        <w:pStyle w:val="ListBullet"/>
      </w:pPr>
      <w:r>
        <w:t>FK: columna o conjunto de columnas con relación declarada mediante @relation(fields, references).</w:t>
      </w:r>
    </w:p>
    <w:p>
      <w:pPr>
        <w:pStyle w:val="ListBullet"/>
      </w:pPr>
      <w:r>
        <w:t>1:N: una entidad padre puede vincularse con múltiples filas hijas; 1:1: FK única o clave compartida.</w:t>
      </w:r>
    </w:p>
    <w:p>
      <w:pPr>
        <w:pStyle w:val="ListBullet"/>
      </w:pPr>
      <w:r>
        <w:t>?: atributo opcional en Prisma. La obligatoriedad física debe cotejarse con las migraciones aplicadas.</w:t>
      </w:r>
    </w:p>
    <w:p>
      <w:pPr>
        <w:pStyle w:val="ListBullet"/>
      </w:pPr>
      <w:r>
        <w:t>Una flecha conecta el registro referenciado con el que contiene la FK. Los gráficos se agrupan para facilitar su lectura.</w:t>
      </w:r>
    </w:p>
    <w:p>
      <w:pPr>
        <w:pStyle w:val="ListBullet"/>
      </w:pPr>
      <w:r>
        <w:t>Referencias de auditoría y recursos genéricos almacenadas sin @relation no se dibujan como FKs, para evitar relaciones inventadas.</w:t>
      </w:r>
    </w:p>
    <w:p>
      <w:pPr>
        <w:pStyle w:val="Heading2"/>
      </w:pPr>
      <w:r>
        <w:t>Cobertura por dominio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</w:tcPr>
          <w:p>
            <w:r>
              <w:t>Vista</w:t>
            </w:r>
          </w:p>
        </w:tc>
        <w:tc>
          <w:tcPr>
            <w:tcW w:type="dxa" w:w="4933"/>
          </w:tcPr>
          <w:p>
            <w:r>
              <w:t>Entidades representadas</w:t>
            </w:r>
          </w:p>
        </w:tc>
        <w:tc>
          <w:tcPr>
            <w:tcW w:type="dxa" w:w="4933"/>
          </w:tcPr>
          <w:p>
            <w:r>
              <w:t>Relaciones dentro de la vista</w:t>
            </w:r>
          </w:p>
        </w:tc>
      </w:tr>
      <w:tr>
        <w:tc>
          <w:tcPr>
            <w:tcW w:type="dxa" w:w="4933"/>
          </w:tcPr>
          <w:p>
            <w:r>
              <w:t>01. Identidad, sesiones y control de acceso</w:t>
            </w:r>
          </w:p>
        </w:tc>
        <w:tc>
          <w:tcPr>
            <w:tcW w:type="dxa" w:w="4933"/>
          </w:tcPr>
          <w:p>
            <w:r>
              <w:t>9</w:t>
            </w:r>
          </w:p>
        </w:tc>
        <w:tc>
          <w:tcPr>
            <w:tcW w:type="dxa" w:w="4933"/>
          </w:tcPr>
          <w:p>
            <w:r>
              <w:t>10</w:t>
            </w:r>
          </w:p>
        </w:tc>
      </w:tr>
      <w:tr>
        <w:tc>
          <w:tcPr>
            <w:tcW w:type="dxa" w:w="4933"/>
          </w:tcPr>
          <w:p>
            <w:r>
              <w:t>02. Catálogo institucional y profesionales</w:t>
            </w:r>
          </w:p>
        </w:tc>
        <w:tc>
          <w:tcPr>
            <w:tcW w:type="dxa" w:w="4933"/>
          </w:tcPr>
          <w:p>
            <w:r>
              <w:t>11</w:t>
            </w:r>
          </w:p>
        </w:tc>
        <w:tc>
          <w:tcPr>
            <w:tcW w:type="dxa" w:w="4933"/>
          </w:tcPr>
          <w:p>
            <w:r>
              <w:t>14</w:t>
            </w:r>
          </w:p>
        </w:tc>
      </w:tr>
      <w:tr>
        <w:tc>
          <w:tcPr>
            <w:tcW w:type="dxa" w:w="4933"/>
          </w:tcPr>
          <w:p>
            <w:r>
              <w:t>03. Agenda, disponibilidad y bloqueos</w:t>
            </w:r>
          </w:p>
        </w:tc>
        <w:tc>
          <w:tcPr>
            <w:tcW w:type="dxa" w:w="4933"/>
          </w:tcPr>
          <w:p>
            <w:r>
              <w:t>11</w:t>
            </w:r>
          </w:p>
        </w:tc>
        <w:tc>
          <w:tcPr>
            <w:tcW w:type="dxa" w:w="4933"/>
          </w:tcPr>
          <w:p>
            <w:r>
              <w:t>20</w:t>
            </w:r>
          </w:p>
        </w:tc>
      </w:tr>
      <w:tr>
        <w:tc>
          <w:tcPr>
            <w:tcW w:type="dxa" w:w="4933"/>
          </w:tcPr>
          <w:p>
            <w:r>
              <w:t>04. Reservas y asignación de cupos</w:t>
            </w:r>
          </w:p>
        </w:tc>
        <w:tc>
          <w:tcPr>
            <w:tcW w:type="dxa" w:w="4933"/>
          </w:tcPr>
          <w:p>
            <w:r>
              <w:t>9</w:t>
            </w:r>
          </w:p>
        </w:tc>
        <w:tc>
          <w:tcPr>
            <w:tcW w:type="dxa" w:w="4933"/>
          </w:tcPr>
          <w:p>
            <w:r>
              <w:t>14</w:t>
            </w:r>
          </w:p>
        </w:tc>
      </w:tr>
      <w:tr>
        <w:tc>
          <w:tcPr>
            <w:tcW w:type="dxa" w:w="4933"/>
          </w:tcPr>
          <w:p>
            <w:r>
              <w:t>05. Historial, cancelación y confirmación</w:t>
            </w:r>
          </w:p>
        </w:tc>
        <w:tc>
          <w:tcPr>
            <w:tcW w:type="dxa" w:w="4933"/>
          </w:tcPr>
          <w:p>
            <w:r>
              <w:t>8</w:t>
            </w:r>
          </w:p>
        </w:tc>
        <w:tc>
          <w:tcPr>
            <w:tcW w:type="dxa" w:w="4933"/>
          </w:tcPr>
          <w:p>
            <w:r>
              <w:t>16</w:t>
            </w:r>
          </w:p>
        </w:tc>
      </w:tr>
      <w:tr>
        <w:tc>
          <w:tcPr>
            <w:tcW w:type="dxa" w:w="4933"/>
          </w:tcPr>
          <w:p>
            <w:r>
              <w:t>06. Lista de espera y preferencias</w:t>
            </w:r>
          </w:p>
        </w:tc>
        <w:tc>
          <w:tcPr>
            <w:tcW w:type="dxa" w:w="4933"/>
          </w:tcPr>
          <w:p>
            <w:r>
              <w:t>11</w:t>
            </w:r>
          </w:p>
        </w:tc>
        <w:tc>
          <w:tcPr>
            <w:tcW w:type="dxa" w:w="4933"/>
          </w:tcPr>
          <w:p>
            <w:r>
              <w:t>14</w:t>
            </w:r>
          </w:p>
        </w:tc>
      </w:tr>
      <w:tr>
        <w:tc>
          <w:tcPr>
            <w:tcW w:type="dxa" w:w="4933"/>
          </w:tcPr>
          <w:p>
            <w:r>
              <w:t>07. Reasignación, candidatos y ofertas</w:t>
            </w:r>
          </w:p>
        </w:tc>
        <w:tc>
          <w:tcPr>
            <w:tcW w:type="dxa" w:w="4933"/>
          </w:tcPr>
          <w:p>
            <w:r>
              <w:t>12</w:t>
            </w:r>
          </w:p>
        </w:tc>
        <w:tc>
          <w:tcPr>
            <w:tcW w:type="dxa" w:w="4933"/>
          </w:tcPr>
          <w:p>
            <w:r>
              <w:t>30</w:t>
            </w:r>
          </w:p>
        </w:tc>
      </w:tr>
      <w:tr>
        <w:tc>
          <w:tcPr>
            <w:tcW w:type="dxa" w:w="4933"/>
          </w:tcPr>
          <w:p>
            <w:r>
              <w:t>08. Notificaciones, correo y auditoría</w:t>
            </w:r>
          </w:p>
        </w:tc>
        <w:tc>
          <w:tcPr>
            <w:tcW w:type="dxa" w:w="4933"/>
          </w:tcPr>
          <w:p>
            <w:r>
              <w:t>4</w:t>
            </w:r>
          </w:p>
        </w:tc>
        <w:tc>
          <w:tcPr>
            <w:tcW w:type="dxa" w:w="4933"/>
          </w:tcPr>
          <w:p>
            <w:r>
              <w:t>2</w:t>
            </w:r>
          </w:p>
        </w:tc>
      </w:tr>
    </w:tbl>
    <w:p>
      <w:r>
        <w:t>Las cifras por vista no son sumables: varias entidades y relaciones se muestran en más de una vista para explicitar conexiones entre subsistemas.</w:t>
      </w:r>
    </w:p>
    <w:p>
      <w:pPr>
        <w:pStyle w:val="Heading2"/>
      </w:pPr>
      <w:r>
        <w:t>Restricciones del dominio destacadas</w:t>
      </w:r>
    </w:p>
    <w:p>
      <w:r>
        <w:rPr>
          <w:b/>
        </w:rPr>
        <w:t xml:space="preserve">Cupos y citas: </w:t>
      </w:r>
      <w:r>
        <w:t>citas.cupo_id es UNIQUE; la reasignación reutiliza la cita vinculada al cupo, no crea una segunda cita para el mismo cupo.</w:t>
      </w:r>
    </w:p>
    <w:p>
      <w:r>
        <w:rPr>
          <w:b/>
        </w:rPr>
        <w:t xml:space="preserve">Concurrencia: </w:t>
      </w:r>
      <w:r>
        <w:t>cupos_agenda.version_lock, reasignaciones.version_lock y ofertas_cita.version_lock permiten representar las versiones usadas por operaciones de control optimista.</w:t>
      </w:r>
    </w:p>
    <w:p>
      <w:r>
        <w:rPr>
          <w:b/>
        </w:rPr>
        <w:t xml:space="preserve">Trazabilidad: </w:t>
      </w:r>
      <w:r>
        <w:t>historial_cambios_cita, candidatos_reasignacion, ofertas_cita y eventos_auditoria conservan trazas y datos históricos del proceso.</w:t>
      </w:r>
    </w:p>
    <w:p>
      <w:r>
        <w:rPr>
          <w:b/>
        </w:rPr>
        <w:t xml:space="preserve">Identidad institucional: </w:t>
      </w:r>
      <w:r>
        <w:t>usuarios_roles vincula usuarios y roles con ámbitos global, institución y sede; la separación multi-tenant debe reforzarse en servicios y autorización.</w:t>
      </w:r>
    </w:p>
    <w:p>
      <w:r>
        <w:rPr>
          <w:b/>
        </w:rPr>
        <w:t xml:space="preserve">WhatsApp: </w:t>
      </w:r>
      <w:r>
        <w:t>El enum canal_notificacion conserva el valor WHATSAPP históricamente, sin un módulo activo ni tabla de entregas WhatsApp en el modelo vigente.</w:t>
      </w:r>
    </w:p>
    <w:p>
      <w:pPr>
        <w:pStyle w:val="Heading1"/>
        <w:pageBreakBefore/>
      </w:pPr>
      <w:r>
        <w:t>2. Identidad, sesiones y control de acceso</w:t>
      </w:r>
    </w:p>
    <w:p>
      <w:r>
        <w:t>Usuarios, autenticación, identidades externas, roles y permisos en ámbitos global, institucional y de sede.</w:t>
      </w:r>
    </w:p>
    <w:p>
      <w:r>
        <w:rPr>
          <w:b/>
        </w:rPr>
        <w:t xml:space="preserve">9 entidades visibles · 10 relaciones representadas en esta vista. </w:t>
      </w:r>
      <w:r>
        <w:t>Las FKs se rotulan en los cuadros; las cardinalidades indican restricciones de unicidad del esquema.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91293" cy="4617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dent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293" cy="461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774"/>
          <w:sz w:val="16"/>
        </w:rPr>
        <w:t>Figura 1. Vista ER: identidad, sesiones y control de acceso.</w:t>
      </w:r>
    </w:p>
    <w:p>
      <w:pPr>
        <w:pStyle w:val="Heading1"/>
        <w:pageBreakBefore/>
      </w:pPr>
      <w:r>
        <w:t>3. Catálogo institucional y profesionales</w:t>
      </w:r>
    </w:p>
    <w:p>
      <w:r>
        <w:t>Estructura de sedes, servicios y profesionales; las tablas puente representan asociaciones de varios a varios.</w:t>
      </w:r>
    </w:p>
    <w:p>
      <w:r>
        <w:rPr>
          <w:b/>
        </w:rPr>
        <w:t xml:space="preserve">11 entidades visibles · 14 relaciones representadas en esta vista. </w:t>
      </w:r>
      <w:r>
        <w:t>Las FKs se rotulan en los cuadros; las cardinalidades indican restricciones de unicidad del esquema.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11083" cy="4617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ta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11083" cy="461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774"/>
          <w:sz w:val="16"/>
        </w:rPr>
        <w:t>Figura 2. Vista ER: catálogo institucional y profesionales.</w:t>
      </w:r>
    </w:p>
    <w:p>
      <w:pPr>
        <w:pStyle w:val="Heading1"/>
        <w:pageBreakBefore/>
      </w:pPr>
      <w:r>
        <w:t>4. Agenda, disponibilidad y bloqueos</w:t>
      </w:r>
    </w:p>
    <w:p>
      <w:r>
        <w:t>Disponibilidades con cupos, horarios, bloqueos y feriados configurables por institución y sede.</w:t>
      </w:r>
    </w:p>
    <w:p>
      <w:r>
        <w:rPr>
          <w:b/>
        </w:rPr>
        <w:t xml:space="preserve">11 entidades visibles · 20 relaciones representadas en esta vista. </w:t>
      </w:r>
      <w:r>
        <w:t>Las FKs se rotulan en los cuadros; las cardinalidades indican restricciones de unicidad del esquema.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72739" cy="4617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739" cy="461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774"/>
          <w:sz w:val="16"/>
        </w:rPr>
        <w:t>Figura 3. Vista ER: agenda, disponibilidad y bloqueos.</w:t>
      </w:r>
    </w:p>
    <w:p>
      <w:pPr>
        <w:pStyle w:val="Heading1"/>
        <w:pageBreakBefore/>
      </w:pPr>
      <w:r>
        <w:t>5. Reservas y asignación de cupos</w:t>
      </w:r>
    </w:p>
    <w:p>
      <w:r>
        <w:t>Cada cita referencia un cupo único. La cita conserva sus enlaces institucionales, servicio y profesional.</w:t>
      </w:r>
    </w:p>
    <w:p>
      <w:r>
        <w:rPr>
          <w:b/>
        </w:rPr>
        <w:t xml:space="preserve">9 entidades visibles · 14 relaciones representadas en esta vista. </w:t>
      </w:r>
      <w:r>
        <w:t>Las FKs se rotulan en los cuadros; las cardinalidades indican restricciones de unicidad del esquema.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1077" cy="46177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i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77" cy="461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774"/>
          <w:sz w:val="16"/>
        </w:rPr>
        <w:t>Figura 4. Vista ER: reservas y asignación de cupos.</w:t>
      </w:r>
    </w:p>
    <w:p>
      <w:pPr>
        <w:pStyle w:val="Heading1"/>
        <w:pageBreakBefore/>
      </w:pPr>
      <w:r>
        <w:t>6. Historial, cancelación y confirmación</w:t>
      </w:r>
    </w:p>
    <w:p>
      <w:r>
        <w:t>Historial de cambios de estado o de usuario, cancelaciones, sus motivos y confirmaciones.</w:t>
      </w:r>
    </w:p>
    <w:p>
      <w:r>
        <w:rPr>
          <w:b/>
        </w:rPr>
        <w:t xml:space="preserve">8 entidades visibles · 16 relaciones representadas en esta vista. </w:t>
      </w:r>
      <w:r>
        <w:t>Las FKs se rotulan en los cuadros; las cardinalidades indican restricciones de unicidad del esquema.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1298" cy="46177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istor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1298" cy="461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774"/>
          <w:sz w:val="16"/>
        </w:rPr>
        <w:t>Figura 5. Vista ER: historial, cancelación y confirmación.</w:t>
      </w:r>
    </w:p>
    <w:p>
      <w:pPr>
        <w:pStyle w:val="Heading1"/>
        <w:pageBreakBefore/>
      </w:pPr>
      <w:r>
        <w:t>7. Lista de espera y preferencias</w:t>
      </w:r>
    </w:p>
    <w:p>
      <w:r>
        <w:t>Solicitudes de espera y sus restricciones por día, franja horaria, sede y prioridad institucional.</w:t>
      </w:r>
    </w:p>
    <w:p>
      <w:r>
        <w:rPr>
          <w:b/>
        </w:rPr>
        <w:t xml:space="preserve">11 entidades visibles · 14 relaciones representadas en esta vista. </w:t>
      </w:r>
      <w:r>
        <w:t>Las FKs se rotulan en los cuadros; las cardinalidades indican restricciones de unicidad del esquema.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06202" cy="4617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spe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06202" cy="461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774"/>
          <w:sz w:val="16"/>
        </w:rPr>
        <w:t>Figura 6. Vista ER: lista de espera y preferencias.</w:t>
      </w:r>
    </w:p>
    <w:p>
      <w:pPr>
        <w:pStyle w:val="Heading1"/>
        <w:pageBreakBefore/>
      </w:pPr>
      <w:r>
        <w:t>8. Reasignación, candidatos y ofertas</w:t>
      </w:r>
    </w:p>
    <w:p>
      <w:r>
        <w:t>Cancelación origen, cupo, cita existente, ranking de candidatos y ofertas con versiones y snapshots.</w:t>
      </w:r>
    </w:p>
    <w:p>
      <w:r>
        <w:rPr>
          <w:b/>
        </w:rPr>
        <w:t xml:space="preserve">12 entidades visibles · 30 relaciones representadas en esta vista. </w:t>
      </w:r>
      <w:r>
        <w:t>Las FKs se rotulan en los cuadros; las cardinalidades indican restricciones de unicidad del esquema.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45365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asign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36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774"/>
          <w:sz w:val="16"/>
        </w:rPr>
        <w:t>Figura 7. Vista ER: reasignación, candidatos y ofertas.</w:t>
      </w:r>
    </w:p>
    <w:p>
      <w:pPr>
        <w:pStyle w:val="Heading1"/>
        <w:pageBreakBefore/>
      </w:pPr>
      <w:r>
        <w:t>9. Notificaciones, correo y auditoría</w:t>
      </w:r>
    </w:p>
    <w:p>
      <w:r>
        <w:t>Notificaciones internas y outbox de correo; auditoría preserva identificadores históricos sin relaciones FK obligatorias.</w:t>
      </w:r>
    </w:p>
    <w:p>
      <w:r>
        <w:rPr>
          <w:b/>
        </w:rPr>
        <w:t xml:space="preserve">4 entidades visibles · 2 relaciones representadas en esta vista. </w:t>
      </w:r>
      <w:r>
        <w:t>Las FKs se rotulan en los cuadros; las cardinalidades indican restricciones de unicidad del esquema.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35573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otificacion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557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774"/>
          <w:sz w:val="16"/>
        </w:rPr>
        <w:t>Figura 8. Vista ER: notificaciones, correo y auditoría.</w:t>
      </w:r>
    </w:p>
    <w:p>
      <w:pPr>
        <w:pStyle w:val="Heading1"/>
        <w:pageBreakBefore/>
      </w:pPr>
      <w:r>
        <w:t>10. Diccionario de entidades (42 tablas)</w:t>
      </w:r>
    </w:p>
    <w:p>
      <w:r>
        <w:t>La siguiente relación identifica cada modelo Prisma, su nombre físico y su clave primaria. El CSV adjunto contiene además todas las columnas y sus tipos.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tblHeader w:val="true"/>
        </w:trPr>
        <w:tc>
          <w:tcPr>
            <w:tcW w:type="dxa" w:w="3699"/>
          </w:tcPr>
          <w:p>
            <w:r>
              <w:t>#</w:t>
            </w:r>
          </w:p>
        </w:tc>
        <w:tc>
          <w:tcPr>
            <w:tcW w:type="dxa" w:w="3699"/>
          </w:tcPr>
          <w:p>
            <w:r>
              <w:t>Modelo Prisma</w:t>
            </w:r>
          </w:p>
        </w:tc>
        <w:tc>
          <w:tcPr>
            <w:tcW w:type="dxa" w:w="3699"/>
          </w:tcPr>
          <w:p>
            <w:r>
              <w:t>Tabla PostgreSQL</w:t>
            </w:r>
          </w:p>
        </w:tc>
        <w:tc>
          <w:tcPr>
            <w:tcW w:type="dxa" w:w="3699"/>
          </w:tcPr>
          <w:p>
            <w:r>
              <w:t>PK física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Notification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notificaciones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NotificationEmailDelivery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entregas_email_notificacion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AuditEvent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eventos_auditoria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User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usuarios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Role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roles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Permission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permisos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Institution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instituciones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Branch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sedes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UserRole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usuarios_roles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ExternalIdentity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identidades_externas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AuthSession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sesiones_autenticacion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RolePermission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roles_permisos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rol_id, permiso_id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13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ServiceCategory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categorias_servicio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14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servicios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15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ServiceBranch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servicios_sedes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servicio_id, sede_id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16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ServiceRequirement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requisitos_servicio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17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Professional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profesionales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18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ProfessionalService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profesionales_servicios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profesional_id, servicio_id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19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ProfessionalBranch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profesionales_sedes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profesional_id, sede_id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AttentionPoint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boxes_atencion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21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ProfessionalSchedule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horarios_profesional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22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Availability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disponibilidades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23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ScheduleBlock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bloqueos_agenda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24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Holiday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feriados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25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AgendaSlot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cupos_agenda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26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AppointmentStatus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estados_cita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27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Appointment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citas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AppointmentHistory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historial_cambios_cita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29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CancellationReason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motivos_cancelacion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Cancellation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cancelaciones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31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Confirmation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confirmaciones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32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WaitlistStatus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estados_lista_espera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33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Priority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prioridades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34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WaitlistEntry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listas_espera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35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WaitlistPreference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preferencias_lista_espera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36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WaitlistPreferredDay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dias_preferencia_lista_espera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37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WaitlistTimeRange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rangos_horarios_lista_espera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38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WaitlistPreferredBranch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sedes_preferidas_lista_espera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lista_espera_id, sede_id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39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ReassignmentPolicy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politicas_reasignacion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40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Reassignment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reasignaciones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41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ReassignmentCandidate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candidatos_reasignacion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42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AppointmentOffer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ofertas_cita</w:t>
            </w:r>
          </w:p>
        </w:tc>
        <w:tc>
          <w:tcPr>
            <w:tcW w:type="dxa" w:w="3699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</w:tr>
    </w:tbl>
    <w:p>
      <w:pPr>
        <w:pStyle w:val="Heading1"/>
      </w:pPr>
      <w:r>
        <w:t>11. Relaciones y documentación reproducible</w:t>
      </w:r>
    </w:p>
    <w:p>
      <w:r>
        <w:t>Se identificaron 90 declaraciones de relación con FK. El archivo diccionario_relaciones.csv registra por relación la tabla hija, las columnas FK, la tabla padre, sus columnas de referencia, la cardinalidad y la nulabilidad de FK. Los ficheros .mmd y .dot incluidos en la carpeta fuentes_editables permiten regenerar los diagramas sin modificar el esquema de base de datos.</w:t>
      </w:r>
    </w:p>
    <w:p>
      <w:pPr>
        <w:pStyle w:val="Heading2"/>
      </w:pPr>
      <w:r>
        <w:t>Relaciones clave del negocio</w:t>
      </w:r>
    </w:p>
    <w:p>
      <w:pPr>
        <w:pStyle w:val="ListBullet"/>
      </w:pPr>
      <w:r>
        <w:t>disponibilidades (1) → cupos_agenda (N).</w:t>
      </w:r>
    </w:p>
    <w:p>
      <w:pPr>
        <w:pStyle w:val="ListBullet"/>
      </w:pPr>
      <w:r>
        <w:t>cupos_agenda (1) → citas (0..1); restricción UNIQUE sobre citas.cupo_id.</w:t>
      </w:r>
    </w:p>
    <w:p>
      <w:pPr>
        <w:pStyle w:val="ListBullet"/>
      </w:pPr>
      <w:r>
        <w:t>citas (1) → historial_cambios_cita (N) y cancelaciones (N).</w:t>
      </w:r>
    </w:p>
    <w:p>
      <w:pPr>
        <w:pStyle w:val="ListBullet"/>
      </w:pPr>
      <w:r>
        <w:t>cancelaciones (1) → reasignaciones (0..1); cancelacion_origen_id UNIQUE.</w:t>
      </w:r>
    </w:p>
    <w:p>
      <w:pPr>
        <w:pStyle w:val="ListBullet"/>
      </w:pPr>
      <w:r>
        <w:t>reasignaciones (1) → candidatos_reasignacion (N) y ofertas_cita (N).</w:t>
      </w:r>
    </w:p>
    <w:p>
      <w:pPr>
        <w:pStyle w:val="ListBullet"/>
      </w:pPr>
      <w:r>
        <w:t>candidatos_reasignacion (1) → ofertas_cita (0..1); candidato_id UNIQUE.</w:t>
      </w:r>
    </w:p>
    <w:p>
      <w:pPr>
        <w:pStyle w:val="ListBullet"/>
      </w:pPr>
      <w:r>
        <w:t>notificaciones (1) → entregas_email_notificacion (0..1); notificacion_id UNIQUE.</w:t>
      </w:r>
    </w:p>
    <w:p>
      <w:pPr>
        <w:pStyle w:val="Heading2"/>
      </w:pPr>
      <w:r>
        <w:t>Consideraciones y límites de la evidencia</w:t>
      </w:r>
    </w:p>
    <w:p>
      <w:r>
        <w:t>El documento presenta el modelo relacional declarado y no certifica: (a) cuántas tablas están materializadas en la instancia local; (b) la correspondencia del historial de migraciones entre repositorio y base; (c) un nivel de normalización acreditado mediante análisis de dependencias funcionales; ni (d) el funcionamiento de una integración externa. Debe acompañarse de una evidencia read-only del esquema físico una vez reconciliada la base de desarrollo.</w:t>
      </w:r>
    </w:p>
    <w:p>
      <w:r>
        <w:t>Fuente: contenido del archivo apps/api/prisma/schema.prisma proporcionado por el equipo el 16-10-2026. Versión Prisma mantenida por el proyecto: 7.10.0. No se ejecutaron comandos Prisma, SQL, migraciones ni escrituras en PostgreSQL para la elaboración de este documento.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879" w:right="1020" w:bottom="822" w:left="1020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6774"/>
        <w:sz w:val="16"/>
      </w:rPr>
      <w:t xml:space="preserve">Fase 2 · Modelo lógico a partir de Prisma 7.10.0     ·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56774"/>
        <w:sz w:val="16"/>
      </w:rPr>
      <w:t>CITAJUSTA  ·  ARQUITECTURA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818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