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D87A7" w14:textId="77777777" w:rsidR="00572A96" w:rsidRDefault="00F30AF0">
      <w:pPr>
        <w:spacing w:before="600" w:after="80"/>
      </w:pPr>
      <w:r>
        <w:rPr>
          <w:b/>
          <w:bCs/>
          <w:color w:val="172B50"/>
          <w:sz w:val="52"/>
          <w:szCs w:val="52"/>
        </w:rPr>
        <w:t>CITAJUSTA</w:t>
      </w:r>
    </w:p>
    <w:p w14:paraId="6909CB5C" w14:textId="77777777" w:rsidR="00572A96" w:rsidRDefault="00F30AF0">
      <w:pPr>
        <w:spacing w:after="120"/>
      </w:pPr>
      <w:r>
        <w:rPr>
          <w:sz w:val="48"/>
          <w:szCs w:val="48"/>
        </w:rPr>
        <w:t>Product Vision</w:t>
      </w:r>
    </w:p>
    <w:p w14:paraId="37CB8361" w14:textId="77777777" w:rsidR="00572A96" w:rsidRDefault="00F30AF0">
      <w:pPr>
        <w:spacing w:after="360"/>
      </w:pPr>
      <w:r>
        <w:rPr>
          <w:color w:val="008184"/>
          <w:sz w:val="24"/>
          <w:szCs w:val="24"/>
        </w:rPr>
        <w:t>Visión de producto y Product Vision Board</w:t>
      </w:r>
    </w:p>
    <w:p w14:paraId="157BFCDA" w14:textId="77777777" w:rsidR="00572A96" w:rsidRDefault="00F30AF0">
      <w:pPr>
        <w:spacing w:after="100"/>
      </w:pPr>
      <w:r>
        <w:rPr>
          <w:b/>
          <w:bCs/>
          <w:sz w:val="22"/>
          <w:szCs w:val="22"/>
        </w:rPr>
        <w:t>Proyecto de Título · Capstone APT122</w:t>
      </w:r>
    </w:p>
    <w:p w14:paraId="509FFE27" w14:textId="77777777" w:rsidR="00572A96" w:rsidRDefault="00F30AF0">
      <w:pPr>
        <w:spacing w:after="40"/>
      </w:pPr>
      <w:r>
        <w:rPr>
          <w:sz w:val="22"/>
          <w:szCs w:val="22"/>
        </w:rPr>
        <w:t>Ingeniería en Informática</w:t>
      </w:r>
    </w:p>
    <w:p w14:paraId="24E5F889" w14:textId="77777777" w:rsidR="00572A96" w:rsidRDefault="00F30AF0">
      <w:pPr>
        <w:spacing w:after="40"/>
      </w:pPr>
      <w:r>
        <w:rPr>
          <w:sz w:val="22"/>
          <w:szCs w:val="22"/>
        </w:rPr>
        <w:t>Sede: Duoc UC Puente Alto</w:t>
      </w:r>
    </w:p>
    <w:p w14:paraId="257C557F" w14:textId="77777777" w:rsidR="00572A96" w:rsidRDefault="00F30AF0">
      <w:pPr>
        <w:spacing w:after="40"/>
      </w:pPr>
      <w:r>
        <w:rPr>
          <w:sz w:val="22"/>
          <w:szCs w:val="22"/>
        </w:rPr>
        <w:t>Versión: 1.0</w:t>
      </w:r>
    </w:p>
    <w:p w14:paraId="2DE8A5AE" w14:textId="77777777" w:rsidR="00572A96" w:rsidRDefault="00F30AF0">
      <w:pPr>
        <w:spacing w:after="40"/>
      </w:pPr>
      <w:r>
        <w:rPr>
          <w:sz w:val="22"/>
          <w:szCs w:val="22"/>
        </w:rPr>
        <w:t>Estado: Entrega Fase 2</w:t>
      </w:r>
    </w:p>
    <w:p w14:paraId="5128D50F" w14:textId="77777777" w:rsidR="00572A96" w:rsidRDefault="00F30AF0">
      <w:pPr>
        <w:spacing w:after="40"/>
      </w:pPr>
      <w:r>
        <w:rPr>
          <w:sz w:val="22"/>
          <w:szCs w:val="22"/>
        </w:rPr>
        <w:t>Fecha: 17 de octubre de 2026</w:t>
      </w:r>
    </w:p>
    <w:p w14:paraId="268279EA" w14:textId="77777777" w:rsidR="00572A96" w:rsidRDefault="00F30AF0">
      <w:pPr>
        <w:spacing w:before="700" w:after="700"/>
        <w:jc w:val="center"/>
      </w:pPr>
      <w:r>
        <w:rPr>
          <w:noProof/>
        </w:rPr>
        <w:drawing>
          <wp:inline distT="0" distB="0" distL="0" distR="0" wp14:anchorId="2B0FA780" wp14:editId="1299A6FB">
            <wp:extent cx="2476500" cy="2476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DB33" w14:textId="77777777" w:rsidR="00572A96" w:rsidRDefault="00F30AF0">
      <w:pPr>
        <w:spacing w:after="80"/>
      </w:pPr>
      <w:r>
        <w:rPr>
          <w:sz w:val="22"/>
          <w:szCs w:val="22"/>
        </w:rPr>
        <w:t>Integrantes</w:t>
      </w:r>
    </w:p>
    <w:p w14:paraId="6E652185" w14:textId="77777777" w:rsidR="00572A96" w:rsidRDefault="00F30AF0">
      <w:pPr>
        <w:pStyle w:val="Prrafodelista"/>
        <w:numPr>
          <w:ilvl w:val="0"/>
          <w:numId w:val="2"/>
        </w:numPr>
      </w:pPr>
      <w:r>
        <w:rPr>
          <w:b/>
          <w:bCs/>
          <w:sz w:val="22"/>
          <w:szCs w:val="22"/>
        </w:rPr>
        <w:t>Matías Andrés Torres</w:t>
      </w:r>
    </w:p>
    <w:p w14:paraId="38C3DE08" w14:textId="77777777" w:rsidR="00572A96" w:rsidRDefault="00F30AF0">
      <w:pPr>
        <w:pStyle w:val="Prrafodelista"/>
        <w:numPr>
          <w:ilvl w:val="0"/>
          <w:numId w:val="2"/>
        </w:numPr>
      </w:pPr>
      <w:r>
        <w:rPr>
          <w:b/>
          <w:bCs/>
          <w:sz w:val="22"/>
          <w:szCs w:val="22"/>
        </w:rPr>
        <w:t>Bastian Sepúlveda</w:t>
      </w:r>
    </w:p>
    <w:p w14:paraId="4D29B657" w14:textId="77777777" w:rsidR="00572A96" w:rsidRDefault="00F30AF0">
      <w:pPr>
        <w:pStyle w:val="Prrafodelista"/>
        <w:numPr>
          <w:ilvl w:val="0"/>
          <w:numId w:val="2"/>
        </w:numPr>
      </w:pPr>
      <w:r>
        <w:rPr>
          <w:b/>
          <w:bCs/>
          <w:sz w:val="22"/>
          <w:szCs w:val="22"/>
        </w:rPr>
        <w:t>Diego Simón</w:t>
      </w:r>
    </w:p>
    <w:p w14:paraId="544514DA" w14:textId="77777777" w:rsidR="00572A96" w:rsidRDefault="00F30AF0">
      <w:pPr>
        <w:pageBreakBefore/>
        <w:spacing w:after="120"/>
      </w:pPr>
      <w:r>
        <w:rPr>
          <w:b/>
          <w:bCs/>
          <w:color w:val="172B50"/>
          <w:sz w:val="24"/>
          <w:szCs w:val="24"/>
        </w:rPr>
        <w:lastRenderedPageBreak/>
        <w:t>Control de versiones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1263"/>
        <w:gridCol w:w="1805"/>
        <w:gridCol w:w="5056"/>
      </w:tblGrid>
      <w:tr w:rsidR="00572A96" w14:paraId="3B3FB4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DC296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EFB10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27758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50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93F56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572A96" w14:paraId="7696D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53476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A4CB5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17-10-2026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DC4A7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Equipo CitaJusta</w:t>
            </w:r>
          </w:p>
        </w:tc>
        <w:tc>
          <w:tcPr>
            <w:tcW w:w="50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DE8C0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Documento de visión de producto para la entrega Fase 2. Actualiza la visión ejecutiva del Documento Base (sección 1) y de la presentación de Fase 1 con el estado real del producto al 17-10-2026.</w:t>
            </w:r>
          </w:p>
        </w:tc>
      </w:tr>
    </w:tbl>
    <w:p w14:paraId="149310CD" w14:textId="77777777" w:rsidR="00572A96" w:rsidRDefault="00572A96">
      <w:pPr>
        <w:spacing w:after="240"/>
      </w:pPr>
    </w:p>
    <w:p w14:paraId="68F83BCC" w14:textId="77777777" w:rsidR="00572A96" w:rsidRDefault="00F30AF0">
      <w:pPr>
        <w:spacing w:after="120"/>
      </w:pPr>
      <w:r>
        <w:rPr>
          <w:b/>
          <w:bCs/>
          <w:color w:val="172B50"/>
          <w:sz w:val="24"/>
          <w:szCs w:val="24"/>
        </w:rPr>
        <w:t>Índice</w:t>
      </w:r>
    </w:p>
    <w:sdt>
      <w:sdtPr>
        <w:alias w:val="Índice"/>
        <w:id w:val="709382542"/>
      </w:sdtPr>
      <w:sdtEndPr/>
      <w:sdtContent>
        <w:p w14:paraId="77CB1560" w14:textId="0C475C8D" w:rsidR="002D7571" w:rsidRDefault="00F30AF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143056" w:history="1">
            <w:r w:rsidR="002D7571" w:rsidRPr="008D5CF6">
              <w:rPr>
                <w:rStyle w:val="Hipervnculo"/>
                <w:noProof/>
              </w:rPr>
              <w:t>1. Propósito del documento</w:t>
            </w:r>
            <w:r w:rsidR="002D7571">
              <w:rPr>
                <w:noProof/>
              </w:rPr>
              <w:tab/>
            </w:r>
            <w:r w:rsidR="002D7571">
              <w:rPr>
                <w:noProof/>
              </w:rPr>
              <w:fldChar w:fldCharType="begin"/>
            </w:r>
            <w:r w:rsidR="002D7571">
              <w:rPr>
                <w:noProof/>
              </w:rPr>
              <w:instrText xml:space="preserve"> PAGEREF _Toc243143056 \h </w:instrText>
            </w:r>
            <w:r w:rsidR="002D7571">
              <w:rPr>
                <w:noProof/>
              </w:rPr>
            </w:r>
            <w:r w:rsidR="002D7571">
              <w:rPr>
                <w:noProof/>
              </w:rPr>
              <w:fldChar w:fldCharType="separate"/>
            </w:r>
            <w:r w:rsidR="002D7571">
              <w:rPr>
                <w:noProof/>
              </w:rPr>
              <w:t>3</w:t>
            </w:r>
            <w:r w:rsidR="002D7571">
              <w:rPr>
                <w:noProof/>
              </w:rPr>
              <w:fldChar w:fldCharType="end"/>
            </w:r>
          </w:hyperlink>
        </w:p>
        <w:p w14:paraId="44FFF7B7" w14:textId="72DA04D3" w:rsidR="002D7571" w:rsidRDefault="002D757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57" w:history="1">
            <w:r w:rsidRPr="008D5CF6">
              <w:rPr>
                <w:rStyle w:val="Hipervnculo"/>
                <w:noProof/>
              </w:rPr>
              <w:t>2. Declaración de visión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CEFA6D" w14:textId="388506E5" w:rsidR="002D7571" w:rsidRDefault="002D757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58" w:history="1">
            <w:r w:rsidRPr="008D5CF6">
              <w:rPr>
                <w:rStyle w:val="Hipervnculo"/>
                <w:noProof/>
              </w:rPr>
              <w:t>3. Product Vision 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6A045B" w14:textId="09DD0BD1" w:rsidR="002D7571" w:rsidRDefault="002D757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59" w:history="1">
            <w:r w:rsidRPr="008D5CF6">
              <w:rPr>
                <w:rStyle w:val="Hipervnculo"/>
                <w:noProof/>
              </w:rPr>
              <w:t>4. Problema y oportunidad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361251" w14:textId="284B0C2B" w:rsidR="002D7571" w:rsidRDefault="002D757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60" w:history="1">
            <w:r w:rsidRPr="008D5CF6">
              <w:rPr>
                <w:rStyle w:val="Hipervnculo"/>
                <w:noProof/>
              </w:rPr>
              <w:t>4.1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697F8D" w14:textId="4A9B75FD" w:rsidR="002D7571" w:rsidRDefault="002D757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61" w:history="1">
            <w:r w:rsidRPr="008D5CF6">
              <w:rPr>
                <w:rStyle w:val="Hipervnculo"/>
                <w:noProof/>
              </w:rPr>
              <w:t>4.2 Oportunidad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4EFAB1" w14:textId="2AFC1FEA" w:rsidR="002D7571" w:rsidRDefault="002D757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62" w:history="1">
            <w:r w:rsidRPr="008D5CF6">
              <w:rPr>
                <w:rStyle w:val="Hipervnculo"/>
                <w:noProof/>
              </w:rPr>
              <w:t>5. Propuesta de valor y diferenciadores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F45A87" w14:textId="18DE7566" w:rsidR="002D7571" w:rsidRDefault="002D757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63" w:history="1">
            <w:r w:rsidRPr="008D5CF6">
              <w:rPr>
                <w:rStyle w:val="Hipervnculo"/>
                <w:noProof/>
              </w:rPr>
              <w:t>6. Usuarios y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41BB31" w14:textId="2C67DD6E" w:rsidR="002D7571" w:rsidRDefault="002D757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64" w:history="1">
            <w:r w:rsidRPr="008D5CF6">
              <w:rPr>
                <w:rStyle w:val="Hipervnculo"/>
                <w:noProof/>
              </w:rPr>
              <w:t>7. Capacidades del producto al 17-10-2026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FB731F4" w14:textId="3B722F50" w:rsidR="002D7571" w:rsidRDefault="002D757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65" w:history="1">
            <w:r w:rsidRPr="008D5CF6">
              <w:rPr>
                <w:rStyle w:val="Hipervnculo"/>
                <w:noProof/>
              </w:rPr>
              <w:t>7.1 Entregado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040761" w14:textId="2C9DFCBD" w:rsidR="002D7571" w:rsidRDefault="002D757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66" w:history="1">
            <w:r w:rsidRPr="008D5CF6">
              <w:rPr>
                <w:rStyle w:val="Hipervnculo"/>
                <w:noProof/>
              </w:rPr>
              <w:t>7.2 Pendiente o parcial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9BCE61" w14:textId="434C8856" w:rsidR="002D7571" w:rsidRDefault="002D757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67" w:history="1">
            <w:r w:rsidRPr="008D5CF6">
              <w:rPr>
                <w:rStyle w:val="Hipervnculo"/>
                <w:noProof/>
              </w:rPr>
              <w:t>8. Métricas de éxito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495DA5" w14:textId="175AACC2" w:rsidR="002D7571" w:rsidRDefault="002D757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68" w:history="1">
            <w:r w:rsidRPr="008D5CF6">
              <w:rPr>
                <w:rStyle w:val="Hipervnculo"/>
                <w:noProof/>
              </w:rPr>
              <w:t>8.1 Indicadores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9A5DD4" w14:textId="48671833" w:rsidR="002D7571" w:rsidRDefault="002D757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69" w:history="1">
            <w:r w:rsidRPr="008D5CF6">
              <w:rPr>
                <w:rStyle w:val="Hipervnculo"/>
                <w:noProof/>
              </w:rPr>
              <w:t>8.2 Criterios técnicos de éxito (verificados)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0E7485" w14:textId="5A606084" w:rsidR="002D7571" w:rsidRDefault="002D757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70" w:history="1">
            <w:r w:rsidRPr="008D5CF6">
              <w:rPr>
                <w:rStyle w:val="Hipervnculo"/>
                <w:noProof/>
              </w:rPr>
              <w:t>9. Límites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98D85F" w14:textId="0DD293C1" w:rsidR="002D7571" w:rsidRDefault="002D757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71" w:history="1">
            <w:r w:rsidRPr="008D5CF6">
              <w:rPr>
                <w:rStyle w:val="Hipervnculo"/>
                <w:noProof/>
              </w:rPr>
              <w:t>10. Roadmap por releases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CB1AE58" w14:textId="23F80932" w:rsidR="002D7571" w:rsidRDefault="002D757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72" w:history="1">
            <w:r w:rsidRPr="008D5CF6">
              <w:rPr>
                <w:rStyle w:val="Hipervnculo"/>
                <w:noProof/>
              </w:rPr>
              <w:t>10.1 Evolución posterior al Capstone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77A4D4B" w14:textId="053656F8" w:rsidR="002D7571" w:rsidRDefault="002D757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73" w:history="1">
            <w:r w:rsidRPr="008D5CF6">
              <w:rPr>
                <w:rStyle w:val="Hipervnculo"/>
                <w:noProof/>
              </w:rPr>
              <w:t>11. Supuestos y 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9F422AB" w14:textId="40F94FF0" w:rsidR="002D7571" w:rsidRDefault="002D757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74" w:history="1">
            <w:r w:rsidRPr="008D5CF6">
              <w:rPr>
                <w:rStyle w:val="Hipervnculo"/>
                <w:noProof/>
              </w:rPr>
              <w:t>11.1 Supuestos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E2CDAB" w14:textId="3DC25F26" w:rsidR="002D7571" w:rsidRDefault="002D757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75" w:history="1">
            <w:r w:rsidRPr="008D5CF6">
              <w:rPr>
                <w:rStyle w:val="Hipervnculo"/>
                <w:noProof/>
              </w:rPr>
              <w:t>11.2 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8F8E0E7" w14:textId="0EB6F377" w:rsidR="002D7571" w:rsidRDefault="002D7571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76" w:history="1">
            <w:r w:rsidRPr="008D5CF6">
              <w:rPr>
                <w:rStyle w:val="Hipervnculo"/>
                <w:noProof/>
              </w:rPr>
              <w:t>11.3 Protección de datos personales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ED8D835" w14:textId="686730D7" w:rsidR="002D7571" w:rsidRDefault="002D7571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077" w:history="1">
            <w:r w:rsidRPr="008D5CF6">
              <w:rPr>
                <w:rStyle w:val="Hipervnculo"/>
                <w:noProof/>
              </w:rPr>
              <w:t>12. Interesados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BB51DE" w14:textId="1FEB3E60" w:rsidR="00572A96" w:rsidRDefault="00F30AF0">
          <w:r>
            <w:fldChar w:fldCharType="end"/>
          </w:r>
        </w:p>
      </w:sdtContent>
    </w:sdt>
    <w:p w14:paraId="5C40BC30" w14:textId="77777777" w:rsidR="00572A96" w:rsidRDefault="00F30AF0">
      <w:r>
        <w:br w:type="page"/>
      </w:r>
    </w:p>
    <w:p w14:paraId="3A807819" w14:textId="77777777" w:rsidR="00572A96" w:rsidRDefault="00F30AF0">
      <w:pPr>
        <w:pStyle w:val="Ttulo1"/>
      </w:pPr>
      <w:bookmarkStart w:id="0" w:name="_Toc243143056"/>
      <w:r>
        <w:lastRenderedPageBreak/>
        <w:t>1. Propósito del documento</w:t>
      </w:r>
      <w:bookmarkEnd w:id="0"/>
    </w:p>
    <w:p w14:paraId="6D8C17D1" w14:textId="77777777" w:rsidR="00572A96" w:rsidRDefault="00F30AF0">
      <w:pPr>
        <w:spacing w:after="120" w:line="288" w:lineRule="auto"/>
        <w:jc w:val="both"/>
      </w:pPr>
      <w:r>
        <w:t xml:space="preserve">Este documento presenta la </w:t>
      </w:r>
      <w:r>
        <w:rPr>
          <w:b/>
          <w:bCs/>
        </w:rPr>
        <w:t>visión de producto</w:t>
      </w:r>
      <w:r>
        <w:t xml:space="preserve"> de CitaJusta para la entrega final de la Fase 2. Actualiza la visión ejecutiva contenida en el Documento Base (sección 1) y en la presentación de Fase 1, y la contrasta con el estado real del producto al </w:t>
      </w:r>
      <w:r>
        <w:rPr>
          <w:b/>
          <w:bCs/>
        </w:rPr>
        <w:t>17 de octubre de 2026</w:t>
      </w:r>
      <w:r>
        <w:t xml:space="preserve"> (commit </w:t>
      </w:r>
      <w:r>
        <w:rPr>
          <w:rFonts w:ascii="Consolas" w:eastAsia="Consolas" w:hAnsi="Consolas" w:cs="Consolas"/>
          <w:color w:val="0B5F66"/>
          <w:sz w:val="19"/>
          <w:szCs w:val="19"/>
        </w:rPr>
        <w:t>865a7d0</w:t>
      </w:r>
      <w:r>
        <w:t>).</w:t>
      </w:r>
    </w:p>
    <w:p w14:paraId="327AAABB" w14:textId="77777777" w:rsidR="00572A96" w:rsidRDefault="00F30AF0">
      <w:pPr>
        <w:spacing w:after="120" w:line="288" w:lineRule="auto"/>
        <w:jc w:val="both"/>
      </w:pPr>
      <w:r>
        <w:t>La visión orienta la priorización del Product Backlog: toda funcionalidad debe contribuir, directa o indirectamente, a que una cita cancelada se recupere de forma segura, comprensible y trazable.</w:t>
      </w:r>
    </w:p>
    <w:p w14:paraId="26F4A0E0" w14:textId="77777777" w:rsidR="00572A96" w:rsidRDefault="00F30AF0">
      <w:pPr>
        <w:pStyle w:val="Ttulo1"/>
      </w:pPr>
      <w:bookmarkStart w:id="1" w:name="_Toc243143057"/>
      <w:r>
        <w:t>2. Declaración de visión</w:t>
      </w:r>
      <w:bookmarkEnd w:id="1"/>
    </w:p>
    <w:p w14:paraId="11CC7C28" w14:textId="77777777" w:rsidR="00572A96" w:rsidRDefault="00F30AF0">
      <w:pPr>
        <w:spacing w:after="120" w:line="288" w:lineRule="auto"/>
        <w:jc w:val="both"/>
      </w:pPr>
      <w:r>
        <w:t>La declaración sigue la plantilla de Geoffrey Moore, que expresa en una sola idea para quién es el producto, qué problema resuelve y qué lo diferencia.</w:t>
      </w: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572A96" w14:paraId="3758F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B5F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C3C8A5" w14:textId="77777777" w:rsidR="00572A96" w:rsidRDefault="00F30AF0">
            <w:r>
              <w:rPr>
                <w:b/>
                <w:bCs/>
                <w:color w:val="FFFFFF"/>
                <w:sz w:val="22"/>
                <w:szCs w:val="22"/>
              </w:rPr>
              <w:t>Para</w:t>
            </w:r>
          </w:p>
        </w:tc>
        <w:tc>
          <w:tcPr>
            <w:tcW w:w="7026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E6F4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DF55209" w14:textId="77777777" w:rsidR="00572A96" w:rsidRDefault="00F30AF0">
            <w:pPr>
              <w:spacing w:line="276" w:lineRule="auto"/>
            </w:pPr>
            <w:r>
              <w:rPr>
                <w:sz w:val="22"/>
                <w:szCs w:val="22"/>
              </w:rPr>
              <w:t>instituciones y organizaciones que atienden mediante reserva de hora (servicios municipales, centros de atención, instituciones educacionales y otros servicios con agenda),</w:t>
            </w:r>
          </w:p>
        </w:tc>
      </w:tr>
      <w:tr w:rsidR="00572A96" w14:paraId="1E317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B5F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6BFE6E" w14:textId="77777777" w:rsidR="00572A96" w:rsidRDefault="00F30AF0">
            <w:r>
              <w:rPr>
                <w:b/>
                <w:bCs/>
                <w:color w:val="FFFFFF"/>
                <w:sz w:val="22"/>
                <w:szCs w:val="22"/>
              </w:rPr>
              <w:t>quienes</w:t>
            </w:r>
          </w:p>
        </w:tc>
        <w:tc>
          <w:tcPr>
            <w:tcW w:w="7026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E6F4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C0CB2BA" w14:textId="77777777" w:rsidR="00572A96" w:rsidRDefault="00F30AF0">
            <w:pPr>
              <w:spacing w:line="276" w:lineRule="auto"/>
            </w:pPr>
            <w:r>
              <w:rPr>
                <w:sz w:val="22"/>
                <w:szCs w:val="22"/>
              </w:rPr>
              <w:t>pierden cupos por cancelaciones e inasistencias mientras otras personas esperan atención, y dependen de llamadas, correos o planillas para reasignarlos,</w:t>
            </w:r>
          </w:p>
        </w:tc>
      </w:tr>
      <w:tr w:rsidR="00572A96" w14:paraId="4DB06A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B5F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DECC5F" w14:textId="77777777" w:rsidR="00572A96" w:rsidRDefault="00F30AF0">
            <w:r>
              <w:rPr>
                <w:b/>
                <w:bCs/>
                <w:color w:val="FFFFFF"/>
                <w:sz w:val="22"/>
                <w:szCs w:val="22"/>
              </w:rPr>
              <w:t>CitaJusta es</w:t>
            </w:r>
          </w:p>
        </w:tc>
        <w:tc>
          <w:tcPr>
            <w:tcW w:w="7026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E6F4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3534CA7" w14:textId="77777777" w:rsidR="00572A96" w:rsidRDefault="00F30AF0">
            <w:pPr>
              <w:spacing w:line="276" w:lineRule="auto"/>
            </w:pPr>
            <w:r>
              <w:rPr>
                <w:sz w:val="22"/>
                <w:szCs w:val="22"/>
              </w:rPr>
              <w:t>una plataforma web y de escritorio de gestión de citas y listas de espera,</w:t>
            </w:r>
          </w:p>
        </w:tc>
      </w:tr>
      <w:tr w:rsidR="00572A96" w14:paraId="6F49EA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B5F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4B72A" w14:textId="77777777" w:rsidR="00572A96" w:rsidRDefault="00F30AF0">
            <w:r>
              <w:rPr>
                <w:b/>
                <w:bCs/>
                <w:color w:val="FFFFFF"/>
                <w:sz w:val="22"/>
                <w:szCs w:val="22"/>
              </w:rPr>
              <w:t>que</w:t>
            </w:r>
          </w:p>
        </w:tc>
        <w:tc>
          <w:tcPr>
            <w:tcW w:w="7026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E6F4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3F37E87" w14:textId="77777777" w:rsidR="00572A96" w:rsidRDefault="00F30AF0">
            <w:pPr>
              <w:spacing w:line="276" w:lineRule="auto"/>
            </w:pPr>
            <w:r>
              <w:rPr>
                <w:sz w:val="22"/>
                <w:szCs w:val="22"/>
              </w:rPr>
              <w:t>convierte cada cancelación en una nueva oportunidad de atención: detecta el cupo liberado, evalúa a las personas compatibles en lista de espera y les ofrece el horario con un plazo de respuesta, con integridad transaccional y trazabilidad completa.</w:t>
            </w:r>
          </w:p>
        </w:tc>
      </w:tr>
      <w:tr w:rsidR="00572A96" w14:paraId="6DCE0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B5F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D667D" w14:textId="77777777" w:rsidR="00572A96" w:rsidRDefault="00F30AF0">
            <w:r>
              <w:rPr>
                <w:b/>
                <w:bCs/>
                <w:color w:val="FFFFFF"/>
                <w:sz w:val="22"/>
                <w:szCs w:val="22"/>
              </w:rPr>
              <w:t>A diferencia de</w:t>
            </w:r>
          </w:p>
        </w:tc>
        <w:tc>
          <w:tcPr>
            <w:tcW w:w="7026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E6F4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A118953" w14:textId="77777777" w:rsidR="00572A96" w:rsidRDefault="00F30AF0">
            <w:pPr>
              <w:spacing w:line="276" w:lineRule="auto"/>
            </w:pPr>
            <w:r>
              <w:rPr>
                <w:sz w:val="22"/>
                <w:szCs w:val="22"/>
              </w:rPr>
              <w:t>las agendas tradicionales y de la reasignación manual,</w:t>
            </w:r>
          </w:p>
        </w:tc>
      </w:tr>
      <w:tr w:rsidR="00572A96" w14:paraId="127CF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B5F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8F2F6" w14:textId="77777777" w:rsidR="00572A96" w:rsidRDefault="00F30AF0">
            <w:r>
              <w:rPr>
                <w:b/>
                <w:bCs/>
                <w:color w:val="FFFFFF"/>
                <w:sz w:val="22"/>
                <w:szCs w:val="22"/>
              </w:rPr>
              <w:t>nuestro producto</w:t>
            </w:r>
          </w:p>
        </w:tc>
        <w:tc>
          <w:tcPr>
            <w:tcW w:w="7026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E6F4F4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C1D7E23" w14:textId="77777777" w:rsidR="00572A96" w:rsidRDefault="00F30AF0">
            <w:pPr>
              <w:spacing w:line="276" w:lineRule="auto"/>
            </w:pPr>
            <w:r>
              <w:rPr>
                <w:sz w:val="22"/>
                <w:szCs w:val="22"/>
              </w:rPr>
              <w:t>mantiene una lista de espera activa, aplica reglas objetivas y configurables por institución, explica por qué se eligió a cada candidato y garantiza que un mismo cupo nunca se asigne a dos personas.</w:t>
            </w:r>
          </w:p>
        </w:tc>
      </w:tr>
    </w:tbl>
    <w:p w14:paraId="5FEDABCE" w14:textId="77777777" w:rsidR="00572A96" w:rsidRDefault="00572A96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72A96" w14:paraId="658E3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left w:val="single" w:sz="24" w:space="0" w:color="008184"/>
            </w:tcBorders>
            <w:shd w:val="clear" w:color="auto" w:fill="E6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E4EA7C" w14:textId="77777777" w:rsidR="00572A96" w:rsidRDefault="00F30AF0">
            <w:pPr>
              <w:spacing w:after="60"/>
            </w:pPr>
            <w:r>
              <w:rPr>
                <w:b/>
                <w:bCs/>
                <w:color w:val="008184"/>
                <w:sz w:val="20"/>
                <w:szCs w:val="20"/>
              </w:rPr>
              <w:t>Frase de defensa</w:t>
            </w:r>
          </w:p>
          <w:p w14:paraId="5804590F" w14:textId="77777777" w:rsidR="00572A96" w:rsidRDefault="00F30AF0">
            <w:pPr>
              <w:spacing w:after="40" w:line="264" w:lineRule="auto"/>
            </w:pPr>
            <w:r>
              <w:rPr>
                <w:sz w:val="19"/>
                <w:szCs w:val="19"/>
              </w:rPr>
              <w:t>"CitaJusta no es una agenda tradicional: es un sistema de optimización de cupos que convierte una cita cancelada en una nueva oportunidad de atención."</w:t>
            </w:r>
          </w:p>
          <w:p w14:paraId="39D96F43" w14:textId="77777777" w:rsidR="00572A96" w:rsidRDefault="00F30AF0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Eslogan: </w:t>
            </w:r>
            <w:r>
              <w:rPr>
                <w:b/>
                <w:bCs/>
                <w:sz w:val="19"/>
                <w:szCs w:val="19"/>
              </w:rPr>
              <w:t>Una cita cancelada no debería perderse.</w:t>
            </w:r>
          </w:p>
        </w:tc>
      </w:tr>
    </w:tbl>
    <w:p w14:paraId="1CC2278E" w14:textId="77777777" w:rsidR="00572A96" w:rsidRDefault="00F30AF0">
      <w:pPr>
        <w:pStyle w:val="Ttulo1"/>
        <w:pageBreakBefore/>
      </w:pPr>
      <w:bookmarkStart w:id="2" w:name="_Toc243143058"/>
      <w:r>
        <w:lastRenderedPageBreak/>
        <w:t>3. Product Vision Board</w:t>
      </w:r>
      <w:bookmarkEnd w:id="2"/>
    </w:p>
    <w:p w14:paraId="5F7445AE" w14:textId="77777777" w:rsidR="00572A96" w:rsidRDefault="00F30AF0">
      <w:pPr>
        <w:spacing w:after="120" w:line="288" w:lineRule="auto"/>
        <w:jc w:val="both"/>
      </w:pPr>
      <w:r>
        <w:t>El tablero resume en cuatro cuadrantes a quién sirve el producto, qué necesidades atiende, qué es y qué objetivos persigue.</w:t>
      </w:r>
    </w:p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72A96" w14:paraId="2C3A26C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6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A20EEA" w14:textId="77777777" w:rsidR="00572A96" w:rsidRDefault="00F30AF0">
            <w:pPr>
              <w:spacing w:after="80"/>
            </w:pPr>
            <w:r>
              <w:rPr>
                <w:b/>
                <w:bCs/>
                <w:color w:val="172B50"/>
                <w:sz w:val="22"/>
                <w:szCs w:val="22"/>
              </w:rPr>
              <w:t>Grupo objetivo</w:t>
            </w:r>
          </w:p>
          <w:p w14:paraId="0622CD4D" w14:textId="77777777" w:rsidR="00572A96" w:rsidRDefault="00F30AF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Instituciones con atención programada y listas de espera (municipios, centros de atención, educación, servicios con reserva).</w:t>
            </w:r>
          </w:p>
          <w:p w14:paraId="002AAF7C" w14:textId="77777777" w:rsidR="00572A96" w:rsidRDefault="00F30AF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Personas que reservan horas y esperan un cupo.</w:t>
            </w:r>
          </w:p>
          <w:p w14:paraId="009AD77B" w14:textId="77777777" w:rsidR="00572A96" w:rsidRDefault="00F30AF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Funcionarios, profesionales, administradores y auditores institucionales.</w:t>
            </w:r>
          </w:p>
        </w:tc>
        <w:tc>
          <w:tcPr>
            <w:tcW w:w="451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493C56" w14:textId="77777777" w:rsidR="00572A96" w:rsidRDefault="00F30AF0">
            <w:pPr>
              <w:spacing w:after="80"/>
            </w:pPr>
            <w:r>
              <w:rPr>
                <w:b/>
                <w:bCs/>
                <w:color w:val="172B50"/>
                <w:sz w:val="22"/>
                <w:szCs w:val="22"/>
              </w:rPr>
              <w:t>Necesidades</w:t>
            </w:r>
          </w:p>
          <w:p w14:paraId="479C8F5D" w14:textId="77777777" w:rsidR="00572A96" w:rsidRDefault="00F30AF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Que un cupo cancelado no quede vacío.</w:t>
            </w:r>
          </w:p>
          <w:p w14:paraId="5C34B2F5" w14:textId="77777777" w:rsidR="00572A96" w:rsidRDefault="00F30AF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Reasignar sin llamadas ni planillas, con reglas justas y conocidas.</w:t>
            </w:r>
          </w:p>
          <w:p w14:paraId="6CC2487A" w14:textId="77777777" w:rsidR="00572A96" w:rsidRDefault="00F30AF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Evitar dobles asignaciones y conflictos de agenda.</w:t>
            </w:r>
          </w:p>
          <w:p w14:paraId="74636A9A" w14:textId="77777777" w:rsidR="00572A96" w:rsidRDefault="00F30AF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Saber quién canceló, a quién se ofreció y quién aceptó.</w:t>
            </w:r>
          </w:p>
          <w:p w14:paraId="24FD8092" w14:textId="77777777" w:rsidR="00572A96" w:rsidRDefault="00F30AF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Medir cupos liberados y recuperados.</w:t>
            </w:r>
          </w:p>
        </w:tc>
      </w:tr>
      <w:tr w:rsidR="00572A96" w14:paraId="0C8C26A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3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EF3E12" w14:textId="77777777" w:rsidR="00572A96" w:rsidRDefault="00F30AF0">
            <w:pPr>
              <w:spacing w:after="80"/>
            </w:pPr>
            <w:r>
              <w:rPr>
                <w:b/>
                <w:bCs/>
                <w:color w:val="172B50"/>
                <w:sz w:val="22"/>
                <w:szCs w:val="22"/>
              </w:rPr>
              <w:t>Producto</w:t>
            </w:r>
          </w:p>
          <w:p w14:paraId="6E2D09D5" w14:textId="77777777" w:rsidR="00572A96" w:rsidRDefault="00F30AF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Web para usuarios finales: búsqueda, reserva, Mis citas, lista de espera, ofertas y notificaciones.</w:t>
            </w:r>
          </w:p>
          <w:p w14:paraId="50DF33A7" w14:textId="77777777" w:rsidR="00572A96" w:rsidRDefault="00F30AF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Desktop institucional (Tauri): catálogo, profesionales, agenda, disponibilidad, asistencia, supervisión, reportes y auditoría.</w:t>
            </w:r>
          </w:p>
          <w:p w14:paraId="1DCD7080" w14:textId="77777777" w:rsidR="00572A96" w:rsidRDefault="00F30AF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API NestJS única, con motor de reasignación, RBAC multi-institución y PostgreSQL como fuente de verdad.</w:t>
            </w:r>
          </w:p>
        </w:tc>
        <w:tc>
          <w:tcPr>
            <w:tcW w:w="4513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6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61A860" w14:textId="77777777" w:rsidR="00572A96" w:rsidRDefault="00F30AF0">
            <w:pPr>
              <w:spacing w:after="80"/>
            </w:pPr>
            <w:r>
              <w:rPr>
                <w:b/>
                <w:bCs/>
                <w:color w:val="172B50"/>
                <w:sz w:val="22"/>
                <w:szCs w:val="22"/>
              </w:rPr>
              <w:t>Objetivos</w:t>
            </w:r>
          </w:p>
          <w:p w14:paraId="56856ED3" w14:textId="77777777" w:rsidR="00572A96" w:rsidRDefault="00F30AF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Recuperar cupos liberados mediante ofertas automáticas a candidatos compatibles.</w:t>
            </w:r>
          </w:p>
          <w:p w14:paraId="57F9698C" w14:textId="77777777" w:rsidR="00572A96" w:rsidRDefault="00F30AF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Reducir la carga administrativa de la reasignación.</w:t>
            </w:r>
          </w:p>
          <w:p w14:paraId="1652F1FC" w14:textId="77777777" w:rsidR="00572A96" w:rsidRDefault="00F30AF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Garantizar integridad y trazabilidad auditables.</w:t>
            </w:r>
          </w:p>
          <w:p w14:paraId="071A0706" w14:textId="77777777" w:rsidR="00572A96" w:rsidRDefault="00F30AF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19"/>
                <w:szCs w:val="19"/>
              </w:rPr>
              <w:t>Demostrar el flujo completo como proyecto Capstone reproducible (Docker).</w:t>
            </w:r>
          </w:p>
        </w:tc>
      </w:tr>
    </w:tbl>
    <w:p w14:paraId="77B4AF35" w14:textId="77777777" w:rsidR="00572A96" w:rsidRDefault="00F30AF0">
      <w:pPr>
        <w:pStyle w:val="Ttulo1"/>
      </w:pPr>
      <w:bookmarkStart w:id="3" w:name="_Toc243143059"/>
      <w:r>
        <w:t>4. Problema y oportunidad</w:t>
      </w:r>
      <w:bookmarkEnd w:id="3"/>
    </w:p>
    <w:p w14:paraId="69B287D3" w14:textId="77777777" w:rsidR="00572A96" w:rsidRDefault="00F30AF0">
      <w:pPr>
        <w:pStyle w:val="Ttulo2"/>
      </w:pPr>
      <w:bookmarkStart w:id="4" w:name="_Toc243143060"/>
      <w:r>
        <w:t>4.1 Problema</w:t>
      </w:r>
      <w:bookmarkEnd w:id="4"/>
    </w:p>
    <w:p w14:paraId="0111A85C" w14:textId="77777777" w:rsidR="00572A96" w:rsidRDefault="00F30AF0">
      <w:pPr>
        <w:spacing w:after="120" w:line="288" w:lineRule="auto"/>
        <w:jc w:val="both"/>
      </w:pPr>
      <w:r>
        <w:t>En las instituciones que atienden mediante agenda, una hora cancelada a tiempo podría ser utilizada por otra persona. Sin embargo, cuando la reasignación depende de llamadas, planillas o revisión manual, el cupo suele quedar vacío. Los problemas identificados en Fase 1 son:</w:t>
      </w:r>
    </w:p>
    <w:p w14:paraId="1D748AD2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Cancelaciones de última hora e inasistencias que dejan espacios vacíos en la agenda.</w:t>
      </w:r>
    </w:p>
    <w:p w14:paraId="1AFE5303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Listas de espera pasivas que no se activan cuando aparece un cupo libre.</w:t>
      </w:r>
    </w:p>
    <w:p w14:paraId="29C36C53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Reasignaciones manuales lentas, poco transparentes y difíciles de auditar.</w:t>
      </w:r>
    </w:p>
    <w:p w14:paraId="491F8042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Falta de trazabilidad sobre quién canceló, quién fue contactado y quién aceptó o rechazó.</w:t>
      </w:r>
    </w:p>
    <w:p w14:paraId="58884CD6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Ausencia de indicadores sobre cupos perdidos y recuperados.</w:t>
      </w:r>
    </w:p>
    <w:p w14:paraId="7FF8A2A0" w14:textId="77777777" w:rsidR="00572A96" w:rsidRDefault="00F30AF0">
      <w:pPr>
        <w:pStyle w:val="Ttulo2"/>
      </w:pPr>
      <w:bookmarkStart w:id="5" w:name="_Toc243143061"/>
      <w:r>
        <w:t>4.2 Oportunidad</w:t>
      </w:r>
      <w:bookmarkEnd w:id="5"/>
    </w:p>
    <w:p w14:paraId="0083E21E" w14:textId="77777777" w:rsidR="00572A96" w:rsidRDefault="00F30AF0">
      <w:pPr>
        <w:spacing w:after="120" w:line="288" w:lineRule="auto"/>
        <w:jc w:val="both"/>
      </w:pPr>
      <w:r>
        <w:t xml:space="preserve">Tratar la cancelación como un </w:t>
      </w:r>
      <w:r>
        <w:rPr>
          <w:b/>
          <w:bCs/>
        </w:rPr>
        <w:t>evento</w:t>
      </w:r>
      <w:r>
        <w:t xml:space="preserve"> que dispara automáticamente la búsqueda de un candidato compatible permite recuperar capacidad ya instalada sin aumentar recursos, reducir el trabajo administrativo repetitivo y entregar a las personas en espera una oportunidad concreta de atención. El enfoque es transversal: el modelo usa terminología general (institución, sede, servicio, profesional) y no depende de un sector específico.</w:t>
      </w:r>
    </w:p>
    <w:p w14:paraId="5E865477" w14:textId="77777777" w:rsidR="00572A96" w:rsidRDefault="00F30AF0">
      <w:pPr>
        <w:pStyle w:val="Ttulo1"/>
      </w:pPr>
      <w:bookmarkStart w:id="6" w:name="_Toc243143062"/>
      <w:r>
        <w:lastRenderedPageBreak/>
        <w:t>5. Propuesta de valor y diferenciadores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4693"/>
        <w:gridCol w:w="2167"/>
      </w:tblGrid>
      <w:tr w:rsidR="00572A96" w14:paraId="44A36E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34294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Diferenciador</w:t>
            </w:r>
          </w:p>
        </w:tc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E1BE8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Qué significa</w:t>
            </w:r>
          </w:p>
        </w:tc>
        <w:tc>
          <w:tcPr>
            <w:tcW w:w="216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15B96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Estado al 17-10-2026</w:t>
            </w:r>
          </w:p>
        </w:tc>
      </w:tr>
      <w:tr w:rsidR="00572A96" w14:paraId="34E99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752CC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Lista de espera activa</w:t>
            </w:r>
          </w:p>
        </w:tc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045C3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La cancelación de un cupo reutilizable inicia la reasignación en la misma transacción (HU-025).</w:t>
            </w:r>
          </w:p>
        </w:tc>
        <w:tc>
          <w:tcPr>
            <w:tcW w:w="216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101AA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1E7A4F"/>
                <w:sz w:val="18"/>
                <w:szCs w:val="18"/>
              </w:rPr>
              <w:t>Entregado</w:t>
            </w:r>
          </w:p>
        </w:tc>
      </w:tr>
      <w:tr w:rsidR="00572A96" w14:paraId="14C72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33C22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Reglas objetivas y configurables</w:t>
            </w:r>
          </w:p>
        </w:tc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6A1F2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Elegibilidad por servicio, sede, días, rangos horarios y aviso mínimo; ranking por prioridad y antigüedad con política versionada por institución (HU-009, HU-018).</w:t>
            </w:r>
          </w:p>
        </w:tc>
        <w:tc>
          <w:tcPr>
            <w:tcW w:w="216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F803B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1E7A4F"/>
                <w:sz w:val="18"/>
                <w:szCs w:val="18"/>
              </w:rPr>
              <w:t>Entregado</w:t>
            </w:r>
          </w:p>
        </w:tc>
      </w:tr>
      <w:tr w:rsidR="00572A96" w14:paraId="40EAF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E0549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Ofertas con expiración</w:t>
            </w:r>
          </w:p>
        </w:tc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D8C99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Cada oferta tiene un plazo; al vencer o ser rechazada se continúa con el siguiente candidato (HU-010, HU-011, HU-023).</w:t>
            </w:r>
          </w:p>
        </w:tc>
        <w:tc>
          <w:tcPr>
            <w:tcW w:w="216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7A392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1E7A4F"/>
                <w:sz w:val="18"/>
                <w:szCs w:val="18"/>
              </w:rPr>
              <w:t>Entregado</w:t>
            </w:r>
          </w:p>
        </w:tc>
      </w:tr>
      <w:tr w:rsidR="00572A96" w14:paraId="6A761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B6C75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Sin doble asignación</w:t>
            </w:r>
          </w:p>
        </w:tc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C6D1D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UNIQUE sobre el cupo de la cita, control optimista con lockVersion y transacciones Serializable. Prueba con 10 reservas simultáneas: 1 confirmada y 9 rechazadas (409).</w:t>
            </w:r>
          </w:p>
        </w:tc>
        <w:tc>
          <w:tcPr>
            <w:tcW w:w="216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2DC9C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1E7A4F"/>
                <w:sz w:val="18"/>
                <w:szCs w:val="18"/>
              </w:rPr>
              <w:t>Entregado y verificado</w:t>
            </w:r>
          </w:p>
        </w:tc>
      </w:tr>
      <w:tr w:rsidR="00572A96" w14:paraId="280CD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F3E1A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Reasignación explicable</w:t>
            </w:r>
          </w:p>
        </w:tc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E431C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Se persisten candidatos evaluados, motivos de exclusión, ranking y snapshots; la institución los consulta en Desktop (HU-016, HU-036).</w:t>
            </w:r>
          </w:p>
        </w:tc>
        <w:tc>
          <w:tcPr>
            <w:tcW w:w="216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176F1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1E7A4F"/>
                <w:sz w:val="18"/>
                <w:szCs w:val="18"/>
              </w:rPr>
              <w:t>Entregado</w:t>
            </w:r>
          </w:p>
        </w:tc>
      </w:tr>
      <w:tr w:rsidR="00572A96" w14:paraId="1A7657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B8826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Trazabilidad completa</w:t>
            </w:r>
          </w:p>
        </w:tc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2D898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Historial de estados de la cita y bitácora de auditoría con 26 códigos de acción (HU-020, HU-038).</w:t>
            </w:r>
          </w:p>
        </w:tc>
        <w:tc>
          <w:tcPr>
            <w:tcW w:w="216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C214C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1E7A4F"/>
                <w:sz w:val="18"/>
                <w:szCs w:val="18"/>
              </w:rPr>
              <w:t>Entregado</w:t>
            </w:r>
          </w:p>
        </w:tc>
      </w:tr>
      <w:tr w:rsidR="00572A96" w14:paraId="4928E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6CCA0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Web y Desktop sobre una API única</w:t>
            </w:r>
          </w:p>
        </w:tc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4E733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Ningún cliente decide permisos, disponibilidad ni reasignaciones; el backend es la autoridad.</w:t>
            </w:r>
          </w:p>
        </w:tc>
        <w:tc>
          <w:tcPr>
            <w:tcW w:w="216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65788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1E7A4F"/>
                <w:sz w:val="18"/>
                <w:szCs w:val="18"/>
              </w:rPr>
              <w:t>Entregado</w:t>
            </w:r>
          </w:p>
        </w:tc>
      </w:tr>
      <w:tr w:rsidR="00572A96" w14:paraId="794E5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33BB3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Integraciones complementarias</w:t>
            </w:r>
          </w:p>
        </w:tc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62A2D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Correo (Resend), acceso con Google, copia a Google Calendar, ubicación con OpenStreetMap/Google Maps y consulta de feriados de Chile (Nager.Date).</w:t>
            </w:r>
          </w:p>
        </w:tc>
        <w:tc>
          <w:tcPr>
            <w:tcW w:w="216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CEC9E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9A5B00"/>
                <w:sz w:val="18"/>
                <w:szCs w:val="18"/>
              </w:rPr>
              <w:t>Entregado con pendientes menores</w:t>
            </w:r>
          </w:p>
        </w:tc>
      </w:tr>
    </w:tbl>
    <w:p w14:paraId="4D2B0DAA" w14:textId="77777777" w:rsidR="00572A96" w:rsidRDefault="00F30AF0">
      <w:pPr>
        <w:pStyle w:val="Ttulo1"/>
      </w:pPr>
      <w:bookmarkStart w:id="7" w:name="_Toc243143063"/>
      <w:r>
        <w:t>6. Usuarios y roles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6"/>
        <w:gridCol w:w="4874"/>
        <w:gridCol w:w="1806"/>
      </w:tblGrid>
      <w:tr w:rsidR="00572A96" w14:paraId="00384D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8107F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487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D9488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Necesidad principal</w:t>
            </w:r>
          </w:p>
        </w:tc>
        <w:tc>
          <w:tcPr>
            <w:tcW w:w="180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7E852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Canal</w:t>
            </w:r>
          </w:p>
        </w:tc>
      </w:tr>
      <w:tr w:rsidR="00572A96" w14:paraId="56C318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3E5CD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Usuario final</w:t>
            </w:r>
          </w:p>
        </w:tc>
        <w:tc>
          <w:tcPr>
            <w:tcW w:w="487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391C9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Buscar y reservar horas, cancelar, ingresar a lista de espera y responder ofertas de cupos liberados.</w:t>
            </w:r>
          </w:p>
        </w:tc>
        <w:tc>
          <w:tcPr>
            <w:tcW w:w="180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CA998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Web</w:t>
            </w:r>
          </w:p>
        </w:tc>
      </w:tr>
      <w:tr w:rsidR="00572A96" w14:paraId="5BC70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0FFF5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Funcionario / recepcionista</w:t>
            </w:r>
          </w:p>
        </w:tc>
        <w:tc>
          <w:tcPr>
            <w:tcW w:w="487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8114E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Consultar la agenda diaria y registrar asistencia o inasistencia.</w:t>
            </w:r>
          </w:p>
        </w:tc>
        <w:tc>
          <w:tcPr>
            <w:tcW w:w="180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C92C3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Desktop</w:t>
            </w:r>
          </w:p>
        </w:tc>
      </w:tr>
      <w:tr w:rsidR="00572A96" w14:paraId="677F5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29157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Profesional</w:t>
            </w:r>
          </w:p>
        </w:tc>
        <w:tc>
          <w:tcPr>
            <w:tcW w:w="487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EB4F0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Conocer su agenda y las citas asignadas.</w:t>
            </w:r>
          </w:p>
        </w:tc>
        <w:tc>
          <w:tcPr>
            <w:tcW w:w="180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01841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Desktop (según permisos)</w:t>
            </w:r>
          </w:p>
        </w:tc>
      </w:tr>
      <w:tr w:rsidR="00572A96" w14:paraId="5EABD4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E845C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Administrador institucional</w:t>
            </w:r>
          </w:p>
        </w:tc>
        <w:tc>
          <w:tcPr>
            <w:tcW w:w="487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86EE0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Configurar sedes, servicios, profesionales, disponibilidad, bloqueos y reglas de reasignación.</w:t>
            </w:r>
          </w:p>
        </w:tc>
        <w:tc>
          <w:tcPr>
            <w:tcW w:w="180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25CB7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Desktop</w:t>
            </w:r>
          </w:p>
        </w:tc>
      </w:tr>
      <w:tr w:rsidR="00572A96" w14:paraId="70F75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0AAC6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Supervisor de reasignaciones</w:t>
            </w:r>
          </w:p>
        </w:tc>
        <w:tc>
          <w:tcPr>
            <w:tcW w:w="487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40D41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Revisar cupos liberados, candidatos, ofertas y resultados.</w:t>
            </w:r>
          </w:p>
        </w:tc>
        <w:tc>
          <w:tcPr>
            <w:tcW w:w="180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D273E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Desktop</w:t>
            </w:r>
          </w:p>
        </w:tc>
      </w:tr>
      <w:tr w:rsidR="00572A96" w14:paraId="3A90B0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C1832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Auditor</w:t>
            </w:r>
          </w:p>
        </w:tc>
        <w:tc>
          <w:tcPr>
            <w:tcW w:w="487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92CC6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Consultar la bitácora y los reportes sin modificar datos.</w:t>
            </w:r>
          </w:p>
        </w:tc>
        <w:tc>
          <w:tcPr>
            <w:tcW w:w="180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79660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Desktop</w:t>
            </w:r>
          </w:p>
        </w:tc>
      </w:tr>
    </w:tbl>
    <w:p w14:paraId="5BD6A17B" w14:textId="77777777" w:rsidR="00572A96" w:rsidRDefault="00572A96">
      <w:pPr>
        <w:spacing w:after="120"/>
      </w:pPr>
    </w:p>
    <w:p w14:paraId="53FDD435" w14:textId="77777777" w:rsidR="00572A96" w:rsidRDefault="00F30AF0">
      <w:pPr>
        <w:spacing w:after="120" w:line="288" w:lineRule="auto"/>
        <w:jc w:val="both"/>
      </w:pPr>
      <w:r>
        <w:t>Los permisos se asignan por capacidad (RBAC) en ámbitos global, institución o sede. Un mismo usuario puede tener distintos roles en distintas instituciones, y las identidades enviadas por un cliente nunca amplían su alcance.</w:t>
      </w:r>
    </w:p>
    <w:p w14:paraId="4BC2DE01" w14:textId="77777777" w:rsidR="00572A96" w:rsidRDefault="00F30AF0">
      <w:pPr>
        <w:pStyle w:val="Ttulo1"/>
      </w:pPr>
      <w:bookmarkStart w:id="8" w:name="_Toc243143064"/>
      <w:r>
        <w:lastRenderedPageBreak/>
        <w:t>7. Capacidades del producto al 17-10-2026</w:t>
      </w:r>
      <w:bookmarkEnd w:id="8"/>
    </w:p>
    <w:p w14:paraId="0DCBA3A8" w14:textId="77777777" w:rsidR="00572A96" w:rsidRDefault="00F30AF0">
      <w:pPr>
        <w:spacing w:after="120" w:line="288" w:lineRule="auto"/>
        <w:jc w:val="both"/>
      </w:pPr>
      <w:r>
        <w:t xml:space="preserve">La siguiente tabla separa lo </w:t>
      </w:r>
      <w:r>
        <w:rPr>
          <w:b/>
          <w:bCs/>
        </w:rPr>
        <w:t>entregado</w:t>
      </w:r>
      <w:r>
        <w:t xml:space="preserve"> (integrado a </w:t>
      </w:r>
      <w:r>
        <w:rPr>
          <w:rFonts w:ascii="Consolas" w:eastAsia="Consolas" w:hAnsi="Consolas" w:cs="Consolas"/>
          <w:color w:val="0B5F66"/>
          <w:sz w:val="19"/>
          <w:szCs w:val="19"/>
        </w:rPr>
        <w:t>main</w:t>
      </w:r>
      <w:r>
        <w:t xml:space="preserve"> y verificado con pruebas) de lo </w:t>
      </w:r>
      <w:r>
        <w:rPr>
          <w:b/>
          <w:bCs/>
        </w:rPr>
        <w:t>pendiente</w:t>
      </w:r>
      <w:r>
        <w:t>. Las 42 historias de usuario vigentes del Product Backlog (HU-001 a HU-042) están integradas; HU-043 (WhatsApp) fue excluida del alcance el 15-10-2026.</w:t>
      </w:r>
    </w:p>
    <w:p w14:paraId="58522EF5" w14:textId="77777777" w:rsidR="00572A96" w:rsidRDefault="00F30AF0">
      <w:pPr>
        <w:pStyle w:val="Ttulo2"/>
      </w:pPr>
      <w:bookmarkStart w:id="9" w:name="_Toc243143065"/>
      <w:r>
        <w:t>7.1 Entregado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3"/>
        <w:gridCol w:w="1444"/>
        <w:gridCol w:w="2889"/>
      </w:tblGrid>
      <w:tr w:rsidR="00572A96" w14:paraId="3EB620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05F6B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Capacidad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973B9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Canal</w:t>
            </w:r>
          </w:p>
        </w:tc>
        <w:tc>
          <w:tcPr>
            <w:tcW w:w="288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9509B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Historias / evidencia</w:t>
            </w:r>
          </w:p>
        </w:tc>
      </w:tr>
      <w:tr w:rsidR="00572A96" w14:paraId="714DF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2FE12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Registro, inicio y cierre de sesión con JWT y refresh rotativo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9E449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Web / Desktop</w:t>
            </w:r>
          </w:p>
        </w:tc>
        <w:tc>
          <w:tcPr>
            <w:tcW w:w="288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7A627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HU-001, HU-002, HU-028</w:t>
            </w:r>
          </w:p>
        </w:tc>
      </w:tr>
      <w:tr w:rsidR="00572A96" w14:paraId="5CDEB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8D3BC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Acceso con Google (OpenID Connect) como método adicional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FC88F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Web</w:t>
            </w:r>
          </w:p>
        </w:tc>
        <w:tc>
          <w:tcPr>
            <w:tcW w:w="288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DFA0D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HU-040 · PR #156</w:t>
            </w:r>
          </w:p>
        </w:tc>
      </w:tr>
      <w:tr w:rsidR="00572A96" w14:paraId="094D6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29F92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Búsqueda de disponibilidad por sede, servicio y fecha específica o flexible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C08631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Web</w:t>
            </w:r>
          </w:p>
        </w:tc>
        <w:tc>
          <w:tcPr>
            <w:tcW w:w="288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9040E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HU-003, HU-026</w:t>
            </w:r>
          </w:p>
        </w:tc>
      </w:tr>
      <w:tr w:rsidR="00572A96" w14:paraId="43D03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13F80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Reserva, Mis citas y cancelación idempotente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DFC58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Web</w:t>
            </w:r>
          </w:p>
        </w:tc>
        <w:tc>
          <w:tcPr>
            <w:tcW w:w="288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6BD12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HU-004, HU-005, HU-006</w:t>
            </w:r>
          </w:p>
        </w:tc>
      </w:tr>
      <w:tr w:rsidR="00572A96" w14:paraId="4D5C7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E9DFB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Lista de espera, preferencias y retiro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F74C9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Web</w:t>
            </w:r>
          </w:p>
        </w:tc>
        <w:tc>
          <w:tcPr>
            <w:tcW w:w="288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00B41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HU-007, HU-008, HU-021</w:t>
            </w:r>
          </w:p>
        </w:tc>
      </w:tr>
      <w:tr w:rsidR="00572A96" w14:paraId="08F3B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A6D4D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Motor de reasignación: candidatos, ranking, ofertas, aceptación, rechazo, expiración e inicio automático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00C3F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API / Web</w:t>
            </w:r>
          </w:p>
        </w:tc>
        <w:tc>
          <w:tcPr>
            <w:tcW w:w="288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2AEAB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HU-009–011, HU-022, HU-023, HU-025, HU-035</w:t>
            </w:r>
          </w:p>
        </w:tc>
      </w:tr>
      <w:tr w:rsidR="00572A96" w14:paraId="10049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E9F54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Política de reasignación versionada por institución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302B9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288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C6FAA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HU-018</w:t>
            </w:r>
          </w:p>
        </w:tc>
      </w:tr>
      <w:tr w:rsidR="00572A96" w14:paraId="21E8D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600C9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Notificaciones internas y correo transaccional (Resend)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8DA84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Web / correo</w:t>
            </w:r>
          </w:p>
        </w:tc>
        <w:tc>
          <w:tcPr>
            <w:tcW w:w="288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3B5F8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HU-024, HU-039 · PR #153 y #173</w:t>
            </w:r>
          </w:p>
        </w:tc>
      </w:tr>
      <w:tr w:rsidR="00572A96" w14:paraId="00F3D6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F15C6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Copia de una cita a Google Calendar con consentimiento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345DD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Web</w:t>
            </w:r>
          </w:p>
        </w:tc>
        <w:tc>
          <w:tcPr>
            <w:tcW w:w="288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C0FB8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HU-041 · PR #159</w:t>
            </w:r>
          </w:p>
        </w:tc>
      </w:tr>
      <w:tr w:rsidR="00572A96" w14:paraId="360423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8BD61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Ubicación de sedes (OpenStreetMap) e indicaciones (Google Maps URLs)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5FB13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Web</w:t>
            </w:r>
          </w:p>
        </w:tc>
        <w:tc>
          <w:tcPr>
            <w:tcW w:w="288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DB5CB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HU-042 · PR #163</w:t>
            </w:r>
          </w:p>
        </w:tc>
      </w:tr>
      <w:tr w:rsidR="00572A96" w14:paraId="497F59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47837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Administración institucional: sedes, servicios, profesionales, disponibilidad y bloqueos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4C554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288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2D7D7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HU-012–014, HU-029, HU-030, HU-032</w:t>
            </w:r>
          </w:p>
        </w:tc>
      </w:tr>
      <w:tr w:rsidR="00572A96" w14:paraId="6E104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4A4E6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Agenda institucional y registro de asistencia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6CA0C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288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1F492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HU-015, HU-017, HU-031, HU-033</w:t>
            </w:r>
          </w:p>
        </w:tc>
      </w:tr>
      <w:tr w:rsidR="00572A96" w14:paraId="408AFC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74491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Supervisión de reasignaciones, reportes e indicadores, auditoría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E278B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288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FFA88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HU-016, HU-019, HU-020, HU-036–038</w:t>
            </w:r>
          </w:p>
        </w:tc>
      </w:tr>
      <w:tr w:rsidR="00572A96" w14:paraId="0C4EA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8990C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Consulta de feriados de Chile (adaptador de sólo lectura, sin importación automática)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42745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API (CLI)</w:t>
            </w:r>
          </w:p>
        </w:tc>
        <w:tc>
          <w:tcPr>
            <w:tcW w:w="288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3479A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PR #174 · registrada como HU-044</w:t>
            </w:r>
          </w:p>
        </w:tc>
      </w:tr>
    </w:tbl>
    <w:p w14:paraId="408FE5A9" w14:textId="77777777" w:rsidR="00572A96" w:rsidRDefault="00F30AF0">
      <w:pPr>
        <w:pStyle w:val="Ttulo2"/>
      </w:pPr>
      <w:bookmarkStart w:id="10" w:name="_Toc243143066"/>
      <w:r>
        <w:t>7.2 Pendiente o parcial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1263"/>
        <w:gridCol w:w="4153"/>
      </w:tblGrid>
      <w:tr w:rsidR="00572A96" w14:paraId="5A1418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A602E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Capacidad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8B21B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41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59724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Comentario</w:t>
            </w:r>
          </w:p>
        </w:tc>
      </w:tr>
      <w:tr w:rsidR="00572A96" w14:paraId="5CF6D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E2125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Documentación OpenAPI / Swagger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A7802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9A5B00"/>
                <w:sz w:val="18"/>
                <w:szCs w:val="18"/>
              </w:rPr>
              <w:t>Pendiente</w:t>
            </w:r>
          </w:p>
        </w:tc>
        <w:tc>
          <w:tcPr>
            <w:tcW w:w="41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AD052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Planificada para el Sprint 9; los contratos están documentados en README y pruebas.</w:t>
            </w:r>
          </w:p>
        </w:tc>
      </w:tr>
      <w:tr w:rsidR="00572A96" w14:paraId="398AC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441D0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Endurecimiento: CORS explícito, rate limiting y cabeceras de seguridad en la API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D7C7C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9A5B00"/>
                <w:sz w:val="18"/>
                <w:szCs w:val="18"/>
              </w:rPr>
              <w:t>Pendiente</w:t>
            </w:r>
          </w:p>
        </w:tc>
        <w:tc>
          <w:tcPr>
            <w:tcW w:w="41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D9C88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Mencionado en la documentación, aún no implementado en el código; la Web publicada por nginx ya usa mismo origen y cabeceras básicas.</w:t>
            </w:r>
          </w:p>
        </w:tc>
      </w:tr>
      <w:tr w:rsidR="00572A96" w14:paraId="22200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05904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Integración continua que ejecute pruebas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3B08B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9A5B00"/>
                <w:sz w:val="18"/>
                <w:szCs w:val="18"/>
              </w:rPr>
              <w:t>Pendiente</w:t>
            </w:r>
          </w:p>
        </w:tc>
        <w:tc>
          <w:tcPr>
            <w:tcW w:w="41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87FEA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Los workflows actuales sólo crean Issues de Daily Scrum.</w:t>
            </w:r>
          </w:p>
        </w:tc>
      </w:tr>
      <w:tr w:rsidR="00572A96" w14:paraId="6CE396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C6CCA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Recuperación de contraseña (RF-003)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650F4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9A5B00"/>
                <w:sz w:val="18"/>
                <w:szCs w:val="18"/>
              </w:rPr>
              <w:t>Pendiente</w:t>
            </w:r>
          </w:p>
        </w:tc>
        <w:tc>
          <w:tcPr>
            <w:tcW w:w="41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C9D18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Requisito de versión objetivo, sin implementación.</w:t>
            </w:r>
          </w:p>
        </w:tc>
      </w:tr>
      <w:tr w:rsidR="00572A96" w14:paraId="753BB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59FEF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Confirmación de asistencia por el usuario (RF-016)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575C1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9A5B00"/>
                <w:sz w:val="18"/>
                <w:szCs w:val="18"/>
              </w:rPr>
              <w:t>Pendiente</w:t>
            </w:r>
          </w:p>
        </w:tc>
        <w:tc>
          <w:tcPr>
            <w:tcW w:w="41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35689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Requisito de versión objetivo; la asistencia se registra desde Desktop (RF-017).</w:t>
            </w:r>
          </w:p>
        </w:tc>
      </w:tr>
      <w:tr w:rsidR="00572A96" w14:paraId="2BD49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B6FB7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lastRenderedPageBreak/>
              <w:t>Validación visual del correo V2 con logo en Gmail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9689D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9A5B00"/>
                <w:sz w:val="18"/>
                <w:szCs w:val="18"/>
              </w:rPr>
              <w:t>Pendiente</w:t>
            </w:r>
          </w:p>
        </w:tc>
        <w:tc>
          <w:tcPr>
            <w:tcW w:w="41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F4486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Plantilla fusionada (PR #173); falta la comprobación manual.</w:t>
            </w:r>
          </w:p>
        </w:tc>
      </w:tr>
      <w:tr w:rsidR="00572A96" w14:paraId="051FB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7A668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Importación de feriados a la agenda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7A2CC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9A5B00"/>
                <w:sz w:val="18"/>
                <w:szCs w:val="18"/>
              </w:rPr>
              <w:t>Pendiente</w:t>
            </w:r>
          </w:p>
        </w:tc>
        <w:tc>
          <w:tcPr>
            <w:tcW w:w="41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D3CBB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Requiere definir qué tipos de feriado cierran atención y su alcance por sede.</w:t>
            </w:r>
          </w:p>
        </w:tc>
      </w:tr>
      <w:tr w:rsidR="00572A96" w14:paraId="604C05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CFF1E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Entorno reproducible con Docker Compose (PostgreSQL, API, Web)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3E867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9A5B00"/>
                <w:sz w:val="18"/>
                <w:szCs w:val="18"/>
              </w:rPr>
              <w:t>Parcial</w:t>
            </w:r>
          </w:p>
        </w:tc>
        <w:tc>
          <w:tcPr>
            <w:tcW w:w="41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7B4B2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Configuración Docker preparada y verificada el 17-10-2026 (cuatro servicios healthy), pendiente de integración al repositorio por el responsable del código.</w:t>
            </w:r>
          </w:p>
        </w:tc>
      </w:tr>
      <w:tr w:rsidR="00572A96" w14:paraId="47C3D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AFA0D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Notificaciones por WhatsApp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7B1AC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B42318"/>
                <w:sz w:val="18"/>
                <w:szCs w:val="18"/>
              </w:rPr>
              <w:t>Excluido</w:t>
            </w:r>
          </w:p>
        </w:tc>
        <w:tc>
          <w:tcPr>
            <w:tcW w:w="41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7CB01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Retirado del alcance el 15-10-2026 por restricciones empresariales del proveedor.</w:t>
            </w:r>
          </w:p>
        </w:tc>
      </w:tr>
    </w:tbl>
    <w:p w14:paraId="3EF7B81E" w14:textId="77777777" w:rsidR="00572A96" w:rsidRDefault="00F30AF0">
      <w:pPr>
        <w:pStyle w:val="Ttulo1"/>
      </w:pPr>
      <w:bookmarkStart w:id="11" w:name="_Toc243143067"/>
      <w:r>
        <w:t>8. Métricas de éxito</w:t>
      </w:r>
      <w:bookmarkEnd w:id="11"/>
    </w:p>
    <w:p w14:paraId="405F395B" w14:textId="77777777" w:rsidR="00572A96" w:rsidRDefault="00F30AF0">
      <w:pPr>
        <w:spacing w:after="120" w:line="288" w:lineRule="auto"/>
        <w:jc w:val="both"/>
      </w:pPr>
      <w:r>
        <w:t xml:space="preserve">El proyecto no cuenta con una implementación piloto en una institución real; por lo tanto, </w:t>
      </w:r>
      <w:r>
        <w:rPr>
          <w:b/>
          <w:bCs/>
        </w:rPr>
        <w:t>no existen mediciones de impacto</w:t>
      </w:r>
      <w:r>
        <w:t xml:space="preserve">. Las métricas siguientes definen cómo se evaluaría el éxito del producto y cuáles ya pueden calcularse con el módulo de reportes (HU-019, endpoint </w:t>
      </w:r>
      <w:r>
        <w:rPr>
          <w:rFonts w:ascii="Consolas" w:eastAsia="Consolas" w:hAnsi="Consolas" w:cs="Consolas"/>
          <w:color w:val="0B5F66"/>
          <w:sz w:val="19"/>
          <w:szCs w:val="19"/>
        </w:rPr>
        <w:t>GET /api/v1/reports/indicators</w:t>
      </w:r>
      <w:r>
        <w:t>, consultado desde Desktop).</w:t>
      </w:r>
    </w:p>
    <w:p w14:paraId="20282576" w14:textId="77777777" w:rsidR="00572A96" w:rsidRDefault="00F30AF0">
      <w:pPr>
        <w:pStyle w:val="Ttulo2"/>
      </w:pPr>
      <w:bookmarkStart w:id="12" w:name="_Toc243143068"/>
      <w:r>
        <w:t>8.1 Indicadores de negocio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8"/>
        <w:gridCol w:w="3971"/>
        <w:gridCol w:w="2167"/>
      </w:tblGrid>
      <w:tr w:rsidR="00572A96" w14:paraId="00ACEE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8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1EBB2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397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BDE9B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  <w:tc>
          <w:tcPr>
            <w:tcW w:w="216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7E36F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Disponible en el producto</w:t>
            </w:r>
          </w:p>
        </w:tc>
      </w:tr>
      <w:tr w:rsidR="00572A96" w14:paraId="071FF0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16C36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Citas programadas, canceladas e inasistencias</w:t>
            </w:r>
          </w:p>
        </w:tc>
        <w:tc>
          <w:tcPr>
            <w:tcW w:w="397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101DA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Conteos por período, sede, servicio o profesional.</w:t>
            </w:r>
          </w:p>
        </w:tc>
        <w:tc>
          <w:tcPr>
            <w:tcW w:w="216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0C9F2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1E7A4F"/>
                <w:sz w:val="18"/>
                <w:szCs w:val="18"/>
              </w:rPr>
              <w:t>Sí (HU-019)</w:t>
            </w:r>
          </w:p>
        </w:tc>
      </w:tr>
      <w:tr w:rsidR="00572A96" w14:paraId="573B8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C2E6E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Cupos liberados y recuperados</w:t>
            </w:r>
          </w:p>
        </w:tc>
        <w:tc>
          <w:tcPr>
            <w:tcW w:w="397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E30AA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Cancelaciones que liberan cupo y reasignaciones completadas con oferta aceptada.</w:t>
            </w:r>
          </w:p>
        </w:tc>
        <w:tc>
          <w:tcPr>
            <w:tcW w:w="216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DC998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1E7A4F"/>
                <w:sz w:val="18"/>
                <w:szCs w:val="18"/>
              </w:rPr>
              <w:t>Sí (HU-019)</w:t>
            </w:r>
          </w:p>
        </w:tc>
      </w:tr>
      <w:tr w:rsidR="00572A96" w14:paraId="7FF14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32C42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Tasa de recuperación de cupos</w:t>
            </w:r>
          </w:p>
        </w:tc>
        <w:tc>
          <w:tcPr>
            <w:tcW w:w="397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5A5D0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Cupos recuperados / cupos liberados × 100.</w:t>
            </w:r>
          </w:p>
        </w:tc>
        <w:tc>
          <w:tcPr>
            <w:tcW w:w="216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6DB21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1E7A4F"/>
                <w:sz w:val="18"/>
                <w:szCs w:val="18"/>
              </w:rPr>
              <w:t>Sí (HU-019)</w:t>
            </w:r>
          </w:p>
        </w:tc>
      </w:tr>
      <w:tr w:rsidR="00572A96" w14:paraId="6282FE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07E8B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Ofertas enviadas, aceptadas, rechazadas y expiradas</w:t>
            </w:r>
          </w:p>
        </w:tc>
        <w:tc>
          <w:tcPr>
            <w:tcW w:w="397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379E2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Resultado de las ofertas en el período.</w:t>
            </w:r>
          </w:p>
        </w:tc>
        <w:tc>
          <w:tcPr>
            <w:tcW w:w="216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78F59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1E7A4F"/>
                <w:sz w:val="18"/>
                <w:szCs w:val="18"/>
              </w:rPr>
              <w:t>Sí (HU-019)</w:t>
            </w:r>
          </w:p>
        </w:tc>
      </w:tr>
      <w:tr w:rsidR="00572A96" w14:paraId="2EECD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2E049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Tiempo desde la cancelación hasta la aceptación</w:t>
            </w:r>
          </w:p>
        </w:tc>
        <w:tc>
          <w:tcPr>
            <w:tcW w:w="397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32437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Minutos entre la liberación del cupo y la aceptación de la oferta.</w:t>
            </w:r>
          </w:p>
        </w:tc>
        <w:tc>
          <w:tcPr>
            <w:tcW w:w="216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127B2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9A5B00"/>
                <w:sz w:val="18"/>
                <w:szCs w:val="18"/>
              </w:rPr>
              <w:t>Datos persistidos; indicador no calculado</w:t>
            </w:r>
          </w:p>
        </w:tc>
      </w:tr>
      <w:tr w:rsidR="00572A96" w14:paraId="473FA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73ED8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Tiempo promedio en lista de espera</w:t>
            </w:r>
          </w:p>
        </w:tc>
        <w:tc>
          <w:tcPr>
            <w:tcW w:w="397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2CB6C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Días desde el ingreso a la lista hasta su cumplimiento.</w:t>
            </w:r>
          </w:p>
        </w:tc>
        <w:tc>
          <w:tcPr>
            <w:tcW w:w="216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2B7BD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9A5B00"/>
                <w:sz w:val="18"/>
                <w:szCs w:val="18"/>
              </w:rPr>
              <w:t>Datos persistidos; indicador no calculado</w:t>
            </w:r>
          </w:p>
        </w:tc>
      </w:tr>
      <w:tr w:rsidR="00572A96" w14:paraId="1AA7E8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07EA0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Horas administrativas evitadas</w:t>
            </w:r>
          </w:p>
        </w:tc>
        <w:tc>
          <w:tcPr>
            <w:tcW w:w="397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6AFC6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Comparación con el proceso manual de la institución.</w:t>
            </w:r>
          </w:p>
        </w:tc>
        <w:tc>
          <w:tcPr>
            <w:tcW w:w="216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1E4EB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B42318"/>
                <w:sz w:val="18"/>
                <w:szCs w:val="18"/>
              </w:rPr>
              <w:t>Requiere estudio en terreno</w:t>
            </w:r>
          </w:p>
        </w:tc>
      </w:tr>
    </w:tbl>
    <w:p w14:paraId="36983436" w14:textId="77777777" w:rsidR="00572A96" w:rsidRDefault="00F30AF0">
      <w:pPr>
        <w:pStyle w:val="Ttulo2"/>
      </w:pPr>
      <w:bookmarkStart w:id="13" w:name="_Toc243143069"/>
      <w:r>
        <w:t>8.2 Criterios técnicos de éxito (verificados)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8"/>
        <w:gridCol w:w="5958"/>
      </w:tblGrid>
      <w:tr w:rsidR="00572A96" w14:paraId="79E6B4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7D323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595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B9F30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Resultado al 17-10-2026</w:t>
            </w:r>
          </w:p>
        </w:tc>
      </w:tr>
      <w:tr w:rsidR="00572A96" w14:paraId="62554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9189A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Cero dobles asignaciones bajo concurrencia</w:t>
            </w:r>
          </w:p>
        </w:tc>
        <w:tc>
          <w:tcPr>
            <w:tcW w:w="595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191DA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10 reservas simultáneas del mismo cupo → 1 confirmada, 9 rechazadas (409).</w:t>
            </w:r>
          </w:p>
        </w:tc>
      </w:tr>
      <w:tr w:rsidR="00572A96" w14:paraId="1530B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215C5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Flujo MVP de extremo a extremo</w:t>
            </w:r>
          </w:p>
        </w:tc>
        <w:tc>
          <w:tcPr>
            <w:tcW w:w="595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A2A97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35/35 verificaciones sobre la configuración Docker de verificación: reserva, lista de espera, cancelación, oferta automática, aceptación y notificaciones.</w:t>
            </w:r>
          </w:p>
        </w:tc>
      </w:tr>
      <w:tr w:rsidR="00572A96" w14:paraId="0E9AC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446B8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Pruebas automatizadas</w:t>
            </w:r>
          </w:p>
        </w:tc>
        <w:tc>
          <w:tcPr>
            <w:tcW w:w="595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9B392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999 pruebas unitarias sin fallos (API 691, Web 138, Desktop 165, client-core 5); E2E sobre PostgreSQL 234/236.</w:t>
            </w:r>
          </w:p>
        </w:tc>
      </w:tr>
      <w:tr w:rsidR="00572A96" w14:paraId="2DA51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18859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Entorno reproducible</w:t>
            </w:r>
          </w:p>
        </w:tc>
        <w:tc>
          <w:tcPr>
            <w:tcW w:w="595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8AF2D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Docker Compose con cuatro servicios en estado healthy y 12 migraciones aplicadas desde cero (configuración Docker preparada y verificada el 17-10-2026, pendiente de integración al repositorio por el responsable del código).</w:t>
            </w:r>
          </w:p>
        </w:tc>
      </w:tr>
    </w:tbl>
    <w:p w14:paraId="31E17FDB" w14:textId="77777777" w:rsidR="00572A96" w:rsidRDefault="00F30AF0">
      <w:pPr>
        <w:pStyle w:val="Ttulo1"/>
      </w:pPr>
      <w:bookmarkStart w:id="14" w:name="_Toc243143070"/>
      <w:r>
        <w:t>9. Límites del producto</w:t>
      </w:r>
      <w:bookmarkEnd w:id="14"/>
    </w:p>
    <w:p w14:paraId="32F2C2B6" w14:textId="77777777" w:rsidR="00572A96" w:rsidRDefault="00F30AF0">
      <w:pPr>
        <w:spacing w:after="120" w:line="288" w:lineRule="auto"/>
        <w:jc w:val="both"/>
      </w:pPr>
      <w:r>
        <w:t xml:space="preserve">Para proteger el propósito central, CitaJusta </w:t>
      </w:r>
      <w:r>
        <w:rPr>
          <w:b/>
          <w:bCs/>
        </w:rPr>
        <w:t>no</w:t>
      </w:r>
      <w:r>
        <w:t xml:space="preserve"> contempla:</w:t>
      </w:r>
    </w:p>
    <w:p w14:paraId="262484E7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Fichas clínicas, diagnósticos, prescripciones, tratamientos ni recomendaciones médicas.</w:t>
      </w:r>
    </w:p>
    <w:p w14:paraId="620B6204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Pagos en línea, facturación, contabilidad, remuneraciones, ERP o CRM completo.</w:t>
      </w:r>
    </w:p>
    <w:p w14:paraId="69BC13F5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Telemedicina, videollamadas o mensajería instantánea general.</w:t>
      </w:r>
    </w:p>
    <w:p w14:paraId="6F569C68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Aplicación móvil nativa, envío real de SMS o integración productiva con WhatsApp.</w:t>
      </w:r>
    </w:p>
    <w:p w14:paraId="68BB2C07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Integración con sistemas productivos de instituciones reales no definidos en el proyecto académico.</w:t>
      </w:r>
    </w:p>
    <w:p w14:paraId="6F94F842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Modelos predictivos de inasistencia o recomendación por aprendizaje automático (evolución futura).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72A96" w14:paraId="46C97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left w:val="single" w:sz="24" w:space="0" w:color="172B50"/>
            </w:tcBorders>
            <w:shd w:val="clear" w:color="auto" w:fill="F3F8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04F583" w14:textId="77777777" w:rsidR="00572A96" w:rsidRDefault="00F30AF0">
            <w:pPr>
              <w:spacing w:after="60"/>
            </w:pPr>
            <w:r>
              <w:rPr>
                <w:b/>
                <w:bCs/>
                <w:color w:val="172B50"/>
                <w:sz w:val="20"/>
                <w:szCs w:val="20"/>
              </w:rPr>
              <w:t>Cambios de alcance registrados</w:t>
            </w:r>
          </w:p>
          <w:p w14:paraId="764B6E0A" w14:textId="77777777" w:rsidR="00572A96" w:rsidRDefault="00F30AF0">
            <w:pPr>
              <w:spacing w:after="40" w:line="264" w:lineRule="auto"/>
            </w:pPr>
            <w:r>
              <w:rPr>
                <w:sz w:val="19"/>
                <w:szCs w:val="19"/>
              </w:rPr>
              <w:t>El documento de Alcances clasificaba la integración con calendarios externos y con identidades externas como funcionalidades futuras. Ambas se incorporaron en el Sprint 8 (HU-040 y HU-041) como capacidades complementarias, sin convertir a Google en fuente de verdad. HU-043 (WhatsApp) siguió el camino inverso y se excluyó del alcance.</w:t>
            </w:r>
          </w:p>
        </w:tc>
      </w:tr>
    </w:tbl>
    <w:p w14:paraId="39390A62" w14:textId="77777777" w:rsidR="00572A96" w:rsidRDefault="00F30AF0">
      <w:pPr>
        <w:pStyle w:val="Ttulo1"/>
      </w:pPr>
      <w:bookmarkStart w:id="15" w:name="_Toc243143071"/>
      <w:r>
        <w:t>10. Roadmap por releases</w:t>
      </w:r>
      <w:bookmarkEnd w:id="15"/>
    </w:p>
    <w:p w14:paraId="5C50328F" w14:textId="77777777" w:rsidR="00572A96" w:rsidRDefault="00F30AF0">
      <w:pPr>
        <w:spacing w:after="120" w:line="288" w:lineRule="auto"/>
        <w:jc w:val="both"/>
      </w:pPr>
      <w:r>
        <w:t>Estado de cada release según el Release Plan v1.10 (corte 16-10-2026), actualizado con la evidencia del 17-10-2026.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"/>
        <w:gridCol w:w="722"/>
        <w:gridCol w:w="2069"/>
        <w:gridCol w:w="1620"/>
        <w:gridCol w:w="3775"/>
      </w:tblGrid>
      <w:tr w:rsidR="00572A96" w14:paraId="1D5B65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07371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Release</w:t>
            </w:r>
          </w:p>
        </w:tc>
        <w:tc>
          <w:tcPr>
            <w:tcW w:w="72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96137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207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32013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22901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37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BFCBB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 w:rsidR="00572A96" w14:paraId="51E3E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FA83D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R0.1</w:t>
            </w:r>
          </w:p>
        </w:tc>
        <w:tc>
          <w:tcPr>
            <w:tcW w:w="72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61F2C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7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6D438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Análisis, alcance y arquitectura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83E22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1E7A4F"/>
                <w:sz w:val="18"/>
                <w:szCs w:val="18"/>
              </w:rPr>
              <w:t>Completo</w:t>
            </w:r>
          </w:p>
        </w:tc>
        <w:tc>
          <w:tcPr>
            <w:tcW w:w="37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49DBB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Documento Base, Alcances, Requisitos, Arquitectura y backlog inicial.</w:t>
            </w:r>
          </w:p>
        </w:tc>
      </w:tr>
      <w:tr w:rsidR="00572A96" w14:paraId="22529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F5392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R0.2</w:t>
            </w:r>
          </w:p>
        </w:tc>
        <w:tc>
          <w:tcPr>
            <w:tcW w:w="72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5D224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7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BA192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Configuración técnica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2267E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9A5B00"/>
                <w:sz w:val="18"/>
                <w:szCs w:val="18"/>
              </w:rPr>
              <w:t>Avance alto</w:t>
            </w:r>
          </w:p>
        </w:tc>
        <w:tc>
          <w:tcPr>
            <w:tcW w:w="37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BA269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Monorepo, NestJS, PostgreSQL y Prisma operativos. Su único pendiente es Docker: configuración Docker preparada y verificada el 17-10-2026, pendiente de integración al repositorio por el responsable del código.</w:t>
            </w:r>
          </w:p>
        </w:tc>
      </w:tr>
      <w:tr w:rsidR="00572A96" w14:paraId="491E4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02BC5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R0.3</w:t>
            </w:r>
          </w:p>
        </w:tc>
        <w:tc>
          <w:tcPr>
            <w:tcW w:w="72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BFA6F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7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3544E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Seguridad y usuarios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62854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9A5B00"/>
                <w:sz w:val="18"/>
                <w:szCs w:val="18"/>
              </w:rPr>
              <w:t>Avance alto</w:t>
            </w:r>
          </w:p>
        </w:tc>
        <w:tc>
          <w:tcPr>
            <w:tcW w:w="37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5D8E3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Auth, sesiones y RBAC operativos; OpenAPI, rate limiting y endurecimiento pasan al Sprint 9.</w:t>
            </w:r>
          </w:p>
        </w:tc>
      </w:tr>
      <w:tr w:rsidR="00572A96" w14:paraId="649FA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F013F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R0.4</w:t>
            </w:r>
          </w:p>
        </w:tc>
        <w:tc>
          <w:tcPr>
            <w:tcW w:w="72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F9837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7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F5703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Agenda base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9F08C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1E7A4F"/>
                <w:sz w:val="18"/>
                <w:szCs w:val="18"/>
              </w:rPr>
              <w:t>Completo</w:t>
            </w:r>
          </w:p>
        </w:tc>
        <w:tc>
          <w:tcPr>
            <w:tcW w:w="37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DF86A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8/8 tareas, checkpoint E2E 1/1 y Burndown.</w:t>
            </w:r>
          </w:p>
        </w:tc>
      </w:tr>
      <w:tr w:rsidR="00572A96" w14:paraId="759F0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F8E59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R0.5</w:t>
            </w:r>
          </w:p>
        </w:tc>
        <w:tc>
          <w:tcPr>
            <w:tcW w:w="72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4C9D9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7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03152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Citas y lista de espera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0E610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1E7A4F"/>
                <w:sz w:val="18"/>
                <w:szCs w:val="18"/>
              </w:rPr>
              <w:t>Completo</w:t>
            </w:r>
          </w:p>
        </w:tc>
        <w:tc>
          <w:tcPr>
            <w:tcW w:w="37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6D465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Reserva, consulta, cancelación y lista de espera Web.</w:t>
            </w:r>
          </w:p>
        </w:tc>
      </w:tr>
      <w:tr w:rsidR="00572A96" w14:paraId="35F587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A8A27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R0.6</w:t>
            </w:r>
          </w:p>
        </w:tc>
        <w:tc>
          <w:tcPr>
            <w:tcW w:w="72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2EA2F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07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EFC32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Reasignación y notificaciones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DCBF3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1E7A4F"/>
                <w:sz w:val="18"/>
                <w:szCs w:val="18"/>
              </w:rPr>
              <w:t>Completo</w:t>
            </w:r>
          </w:p>
        </w:tc>
        <w:tc>
          <w:tcPr>
            <w:tcW w:w="37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6158C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Motor completo, expiración automática y notificaciones internas.</w:t>
            </w:r>
          </w:p>
        </w:tc>
      </w:tr>
      <w:tr w:rsidR="00572A96" w14:paraId="60966F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8C667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R0.7</w:t>
            </w:r>
          </w:p>
        </w:tc>
        <w:tc>
          <w:tcPr>
            <w:tcW w:w="72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036F4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07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9312B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Aplicación institucional y UX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00249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1E7A4F"/>
                <w:sz w:val="18"/>
                <w:szCs w:val="18"/>
              </w:rPr>
              <w:t>Completo</w:t>
            </w:r>
          </w:p>
        </w:tc>
        <w:tc>
          <w:tcPr>
            <w:tcW w:w="37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45ED1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Desktop con todos los módulos institucionales previstos.</w:t>
            </w:r>
          </w:p>
        </w:tc>
      </w:tr>
      <w:tr w:rsidR="00572A96" w14:paraId="76C04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F29F7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lastRenderedPageBreak/>
              <w:t>R0.8</w:t>
            </w:r>
          </w:p>
        </w:tc>
        <w:tc>
          <w:tcPr>
            <w:tcW w:w="72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99BAF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07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64FD4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Integraciones externas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16E40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9A5B00"/>
                <w:sz w:val="18"/>
                <w:szCs w:val="18"/>
              </w:rPr>
              <w:t>Entregado, sin cierre formal</w:t>
            </w:r>
          </w:p>
        </w:tc>
        <w:tc>
          <w:tcPr>
            <w:tcW w:w="37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F7F37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Cuatro integraciones fusionadas; HU-043 excluida; falta acta de cierre del Sprint.</w:t>
            </w:r>
          </w:p>
        </w:tc>
      </w:tr>
      <w:tr w:rsidR="00572A96" w14:paraId="2C8EF3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2A9BA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R1.0</w:t>
            </w:r>
          </w:p>
        </w:tc>
        <w:tc>
          <w:tcPr>
            <w:tcW w:w="72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6186A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07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37E29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Cierre técnico y académico</w:t>
            </w:r>
          </w:p>
        </w:tc>
        <w:tc>
          <w:tcPr>
            <w:tcW w:w="162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BDB0F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9A5B00"/>
                <w:sz w:val="18"/>
                <w:szCs w:val="18"/>
              </w:rPr>
              <w:t>En curso</w:t>
            </w:r>
          </w:p>
        </w:tc>
        <w:tc>
          <w:tcPr>
            <w:tcW w:w="379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FCB82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Configuración Docker preparada y verificada el 17-10 (pendiente de integración por el responsable del código); E2E ejecutados en base aislada; pendientes OpenAPI, endurecimiento, CI y defensa.</w:t>
            </w:r>
          </w:p>
        </w:tc>
      </w:tr>
    </w:tbl>
    <w:p w14:paraId="032D9976" w14:textId="77777777" w:rsidR="00572A96" w:rsidRDefault="00F30AF0">
      <w:pPr>
        <w:pStyle w:val="Ttulo2"/>
      </w:pPr>
      <w:bookmarkStart w:id="16" w:name="_Toc243143072"/>
      <w:r>
        <w:t>10.1 Evolución posterior al Capstone</w:t>
      </w:r>
      <w:bookmarkEnd w:id="16"/>
    </w:p>
    <w:p w14:paraId="0764FE3D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Notificaciones móviles o por SMS mediante un proveedor viable, reutilizando el patrón outbox del correo.</w:t>
      </w:r>
    </w:p>
    <w:p w14:paraId="487A30BF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Importación controlada de feriados nacionales y regionales a la agenda institucional.</w:t>
      </w:r>
    </w:p>
    <w:p w14:paraId="12ACDDE8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Indicadores de tiempos (cancelación → aceptación, espera promedio) en el módulo de reportes.</w:t>
      </w:r>
    </w:p>
    <w:p w14:paraId="0CC9BF43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Publicación de la API con OpenAPI para integraciones con sistemas institucionales.</w:t>
      </w:r>
    </w:p>
    <w:p w14:paraId="32BB26BC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Piloto en una institución real para medir la tasa de recuperación y el ahorro administrativo.</w:t>
      </w:r>
    </w:p>
    <w:p w14:paraId="50C9D961" w14:textId="77777777" w:rsidR="00572A96" w:rsidRDefault="00F30AF0">
      <w:pPr>
        <w:pStyle w:val="Ttulo1"/>
      </w:pPr>
      <w:bookmarkStart w:id="17" w:name="_Toc243143073"/>
      <w:r>
        <w:t>11. Supuestos y restricciones</w:t>
      </w:r>
      <w:bookmarkEnd w:id="17"/>
    </w:p>
    <w:p w14:paraId="6AA54B55" w14:textId="77777777" w:rsidR="00572A96" w:rsidRDefault="00F30AF0">
      <w:pPr>
        <w:pStyle w:val="Ttulo2"/>
      </w:pPr>
      <w:bookmarkStart w:id="18" w:name="_Toc243143074"/>
      <w:r>
        <w:t>11.1 Supuestos</w:t>
      </w:r>
      <w:bookmarkEnd w:id="18"/>
    </w:p>
    <w:p w14:paraId="6247E7B3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Las instituciones ofrecen servicios con duración definida y reserva de hora.</w:t>
      </w:r>
    </w:p>
    <w:p w14:paraId="7B90A679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Existen personas interesadas en esos servicios que aceptan ingresar a una lista de espera y declarar preferencias.</w:t>
      </w:r>
    </w:p>
    <w:p w14:paraId="774F7819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Las instituciones pueden definir reglas de prioridad objetivas.</w:t>
      </w:r>
    </w:p>
    <w:p w14:paraId="3EBF58EF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La demostración académica utiliza datos ficticios y no requiere una implementación productiva.</w:t>
      </w:r>
    </w:p>
    <w:p w14:paraId="4DC39A6C" w14:textId="77777777" w:rsidR="00572A96" w:rsidRDefault="00F30AF0">
      <w:pPr>
        <w:pStyle w:val="Ttulo2"/>
      </w:pPr>
      <w:bookmarkStart w:id="19" w:name="_Toc243143075"/>
      <w:r>
        <w:t>11.2 Restricciones</w:t>
      </w:r>
      <w:bookmarkEnd w:id="19"/>
    </w:p>
    <w:p w14:paraId="6407F3A7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Plazo académico de 18 semanas y equipo de tres integrantes.</w:t>
      </w:r>
    </w:p>
    <w:p w14:paraId="201B4661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Software libre o de uso académico; servicios externos en planes gratuitos o de prueba (por ejemplo, remitente de prueba de Resend).</w:t>
      </w:r>
    </w:p>
    <w:p w14:paraId="5167C29E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El backend es la única autoridad sobre permisos, disponibilidad, ranking y transiciones de estado.</w:t>
      </w:r>
    </w:p>
    <w:p w14:paraId="14A1F6E6" w14:textId="77777777" w:rsidR="00572A96" w:rsidRDefault="00F30AF0">
      <w:pPr>
        <w:pStyle w:val="Prrafodelista"/>
        <w:numPr>
          <w:ilvl w:val="0"/>
          <w:numId w:val="2"/>
        </w:numPr>
        <w:spacing w:after="60" w:line="276" w:lineRule="auto"/>
      </w:pPr>
      <w:r>
        <w:t>Prisma se mantiene en la versión 7.10.0 y los cambios de esquema se hacen sólo con migraciones versionadas.</w:t>
      </w:r>
    </w:p>
    <w:p w14:paraId="2489A4AE" w14:textId="77777777" w:rsidR="00572A96" w:rsidRDefault="00F30AF0">
      <w:pPr>
        <w:pStyle w:val="Ttulo2"/>
      </w:pPr>
      <w:bookmarkStart w:id="20" w:name="_Toc243143076"/>
      <w:r>
        <w:t>11.3 Protección de datos personales</w:t>
      </w:r>
      <w:bookmarkEnd w:id="20"/>
    </w:p>
    <w:p w14:paraId="4F7F79DB" w14:textId="77777777" w:rsidR="00572A96" w:rsidRDefault="00F30AF0">
      <w:pPr>
        <w:spacing w:after="120" w:line="288" w:lineRule="auto"/>
        <w:jc w:val="both"/>
      </w:pPr>
      <w:r>
        <w:t xml:space="preserve">CitaJusta trata datos personales necesarios para gestionar citas (identificación de cuenta, correo, institución, servicio, horarios, estado de reservas y preferencias de espera). El proyecto se diseñó considerando la </w:t>
      </w:r>
      <w:r>
        <w:rPr>
          <w:b/>
          <w:bCs/>
        </w:rPr>
        <w:t>Ley N.º 19.628</w:t>
      </w:r>
      <w:r>
        <w:t xml:space="preserve"> sobre protección de la vida privada, vigente, y anticipando los principios de la </w:t>
      </w:r>
      <w:r>
        <w:rPr>
          <w:b/>
          <w:bCs/>
        </w:rPr>
        <w:t>Ley N.º 21.719</w:t>
      </w:r>
      <w:r>
        <w:t>, cuya entrada en vigencia está fijada para el 1 de diciembre de 2026. En una implementación en prestadores de salud deberá evaluarse además la Ley N.º 20.584, y la Ley N.º 21.663 (Marco de Ciberseguridad) cuando corresponda.</w:t>
      </w:r>
    </w:p>
    <w:p w14:paraId="6872ADCF" w14:textId="77777777" w:rsidR="00572A96" w:rsidRDefault="00F30AF0">
      <w:pPr>
        <w:spacing w:after="120" w:line="288" w:lineRule="auto"/>
        <w:jc w:val="both"/>
      </w:pPr>
      <w:r>
        <w:lastRenderedPageBreak/>
        <w:t xml:space="preserve">Las medidas implementadas siguen el principio de privacidad desde el diseño: minimización de datos (no se almacena información clínica), control de acceso por roles y aislamiento por institución y sede, contraseñas con Argon2id, secretos fuera del código y logs del envío de correo sin destinatarios ni excepciones. </w:t>
      </w:r>
      <w:r>
        <w:rPr>
          <w:b/>
          <w:bCs/>
        </w:rPr>
        <w:t>El proyecto no declara cumplimiento certificado</w:t>
      </w:r>
      <w:r>
        <w:t xml:space="preserve"> de ninguna normativa: ello requiere una evaluación formal que excede el alcance académico.</w:t>
      </w:r>
    </w:p>
    <w:p w14:paraId="1282C395" w14:textId="77777777" w:rsidR="00572A96" w:rsidRDefault="00F30AF0">
      <w:pPr>
        <w:pStyle w:val="Ttulo1"/>
      </w:pPr>
      <w:bookmarkStart w:id="21" w:name="_Toc243143077"/>
      <w:r>
        <w:t>12. Interesados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572A96" w14:paraId="76A8E3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5D564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Interesado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821E3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Interés en el producto</w:t>
            </w:r>
          </w:p>
        </w:tc>
      </w:tr>
      <w:tr w:rsidR="00572A96" w14:paraId="4FCF98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A23B0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Personas usuarias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7EDEE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Acceder antes a una atención mediante cupos recuperados, con información clara de sus citas y ofertas.</w:t>
            </w:r>
          </w:p>
        </w:tc>
      </w:tr>
      <w:tr w:rsidR="00572A96" w14:paraId="17FFF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8CC46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Instituciones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17FC8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Aprovechar la capacidad instalada, reducir trabajo administrativo y contar con trazabilidad e indicadores.</w:t>
            </w:r>
          </w:p>
        </w:tc>
      </w:tr>
      <w:tr w:rsidR="00572A96" w14:paraId="5E20A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C12CA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Equipo CitaJusta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9B5CE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Construir, probar, documentar y defender una solución integrada con prácticas profesionales.</w:t>
            </w:r>
          </w:p>
        </w:tc>
      </w:tr>
      <w:tr w:rsidR="00572A96" w14:paraId="65D78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5FD69" w14:textId="77777777" w:rsidR="00572A96" w:rsidRDefault="00F30AF0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Docencia Capstone APT122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77385" w14:textId="77777777" w:rsidR="00572A96" w:rsidRDefault="00F30AF0">
            <w:pPr>
              <w:spacing w:after="20" w:line="252" w:lineRule="auto"/>
            </w:pPr>
            <w:r>
              <w:rPr>
                <w:sz w:val="18"/>
                <w:szCs w:val="18"/>
              </w:rPr>
              <w:t>Evaluar el cumplimiento del alcance, la metodología y las evidencias del proyecto.</w:t>
            </w:r>
          </w:p>
        </w:tc>
      </w:tr>
    </w:tbl>
    <w:p w14:paraId="19960377" w14:textId="77777777" w:rsidR="00F30AF0" w:rsidRDefault="00F30AF0"/>
    <w:sectPr w:rsidR="00F30AF0">
      <w:headerReference w:type="default" r:id="rId8"/>
      <w:footerReference w:type="default" r:id="rId9"/>
      <w:pgSz w:w="11906" w:h="16838"/>
      <w:pgMar w:top="1440" w:right="1440" w:bottom="1300" w:left="1440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70561" w14:textId="77777777" w:rsidR="00F30AF0" w:rsidRDefault="00F30AF0">
      <w:r>
        <w:separator/>
      </w:r>
    </w:p>
  </w:endnote>
  <w:endnote w:type="continuationSeparator" w:id="0">
    <w:p w14:paraId="192EE082" w14:textId="77777777" w:rsidR="00F30AF0" w:rsidRDefault="00F30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AAB7" w14:textId="77777777" w:rsidR="00572A96" w:rsidRDefault="00F30AF0">
    <w:pPr>
      <w:pBdr>
        <w:top w:val="single" w:sz="4" w:space="4" w:color="C5CFD9"/>
      </w:pBdr>
    </w:pPr>
    <w:r>
      <w:rPr>
        <w:color w:val="5B6573"/>
        <w:sz w:val="16"/>
        <w:szCs w:val="16"/>
      </w:rPr>
      <w:t>CitaJusta · Product Vision</w:t>
    </w:r>
    <w:r>
      <w:rPr>
        <w:color w:val="5B6573"/>
        <w:sz w:val="16"/>
        <w:szCs w:val="16"/>
      </w:rPr>
      <w:ptab w:relativeTo="margin" w:alignment="right" w:leader="none"/>
    </w:r>
    <w:r>
      <w:rPr>
        <w:color w:val="5B6573"/>
        <w:sz w:val="16"/>
        <w:szCs w:val="16"/>
      </w:rPr>
      <w:t xml:space="preserve">Página </w:t>
    </w:r>
    <w:r>
      <w:rPr>
        <w:color w:val="5B6573"/>
        <w:sz w:val="16"/>
        <w:szCs w:val="16"/>
      </w:rPr>
      <w:fldChar w:fldCharType="begin"/>
    </w:r>
    <w:r>
      <w:rPr>
        <w:color w:val="5B6573"/>
        <w:sz w:val="16"/>
        <w:szCs w:val="16"/>
      </w:rPr>
      <w:instrText>PAGE</w:instrText>
    </w:r>
    <w:r>
      <w:rPr>
        <w:color w:val="5B6573"/>
        <w:sz w:val="16"/>
        <w:szCs w:val="16"/>
      </w:rPr>
      <w:fldChar w:fldCharType="separate"/>
    </w:r>
    <w:r w:rsidR="002D7571">
      <w:rPr>
        <w:noProof/>
        <w:color w:val="5B6573"/>
        <w:sz w:val="16"/>
        <w:szCs w:val="16"/>
      </w:rPr>
      <w:t>1</w:t>
    </w:r>
    <w:r>
      <w:rPr>
        <w:color w:val="5B6573"/>
        <w:sz w:val="16"/>
        <w:szCs w:val="16"/>
      </w:rPr>
      <w:fldChar w:fldCharType="end"/>
    </w:r>
    <w:r>
      <w:rPr>
        <w:color w:val="5B6573"/>
        <w:sz w:val="16"/>
        <w:szCs w:val="16"/>
      </w:rPr>
      <w:t xml:space="preserve"> de </w:t>
    </w:r>
    <w:r>
      <w:rPr>
        <w:color w:val="5B6573"/>
        <w:sz w:val="16"/>
        <w:szCs w:val="16"/>
      </w:rPr>
      <w:fldChar w:fldCharType="begin"/>
    </w:r>
    <w:r>
      <w:rPr>
        <w:color w:val="5B6573"/>
        <w:sz w:val="16"/>
        <w:szCs w:val="16"/>
      </w:rPr>
      <w:instrText>NUMPAGES</w:instrText>
    </w:r>
    <w:r>
      <w:rPr>
        <w:color w:val="5B6573"/>
        <w:sz w:val="16"/>
        <w:szCs w:val="16"/>
      </w:rPr>
      <w:fldChar w:fldCharType="separate"/>
    </w:r>
    <w:r w:rsidR="002D7571">
      <w:rPr>
        <w:noProof/>
        <w:color w:val="5B6573"/>
        <w:sz w:val="16"/>
        <w:szCs w:val="16"/>
      </w:rPr>
      <w:t>2</w:t>
    </w:r>
    <w:r>
      <w:rPr>
        <w:color w:val="5B65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9BE32" w14:textId="77777777" w:rsidR="00F30AF0" w:rsidRDefault="00F30AF0">
      <w:r>
        <w:separator/>
      </w:r>
    </w:p>
  </w:footnote>
  <w:footnote w:type="continuationSeparator" w:id="0">
    <w:p w14:paraId="1A43D689" w14:textId="77777777" w:rsidR="00F30AF0" w:rsidRDefault="00F30A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91095" w14:textId="77777777" w:rsidR="00572A96" w:rsidRDefault="00F30AF0">
    <w:pPr>
      <w:jc w:val="right"/>
    </w:pPr>
    <w:r>
      <w:rPr>
        <w:noProof/>
      </w:rPr>
      <w:drawing>
        <wp:inline distT="0" distB="0" distL="0" distR="0" wp14:anchorId="6078BB31" wp14:editId="12B22DE8">
          <wp:extent cx="2095500" cy="466725"/>
          <wp:effectExtent l="0" t="0" r="0" b="0"/>
          <wp:docPr id="532966260" name="Imagen 5329662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F7139"/>
    <w:multiLevelType w:val="hybridMultilevel"/>
    <w:tmpl w:val="BF18B022"/>
    <w:lvl w:ilvl="0" w:tplc="9F109C12">
      <w:start w:val="1"/>
      <w:numFmt w:val="bullet"/>
      <w:lvlText w:val="•"/>
      <w:lvlJc w:val="left"/>
      <w:pPr>
        <w:ind w:left="540" w:hanging="270"/>
      </w:pPr>
    </w:lvl>
    <w:lvl w:ilvl="1" w:tplc="042EDC78">
      <w:start w:val="1"/>
      <w:numFmt w:val="bullet"/>
      <w:lvlText w:val="◦"/>
      <w:lvlJc w:val="left"/>
      <w:pPr>
        <w:ind w:left="900" w:hanging="270"/>
      </w:pPr>
    </w:lvl>
    <w:lvl w:ilvl="2" w:tplc="8D5EF50A">
      <w:start w:val="1"/>
      <w:numFmt w:val="bullet"/>
      <w:lvlText w:val="▪"/>
      <w:lvlJc w:val="left"/>
      <w:pPr>
        <w:ind w:left="1260" w:hanging="270"/>
      </w:pPr>
    </w:lvl>
    <w:lvl w:ilvl="3" w:tplc="11BCA650">
      <w:numFmt w:val="decimal"/>
      <w:lvlText w:val=""/>
      <w:lvlJc w:val="left"/>
    </w:lvl>
    <w:lvl w:ilvl="4" w:tplc="E7264402">
      <w:numFmt w:val="decimal"/>
      <w:lvlText w:val=""/>
      <w:lvlJc w:val="left"/>
    </w:lvl>
    <w:lvl w:ilvl="5" w:tplc="876EFBA2">
      <w:numFmt w:val="decimal"/>
      <w:lvlText w:val=""/>
      <w:lvlJc w:val="left"/>
    </w:lvl>
    <w:lvl w:ilvl="6" w:tplc="3AC4BCAE">
      <w:numFmt w:val="decimal"/>
      <w:lvlText w:val=""/>
      <w:lvlJc w:val="left"/>
    </w:lvl>
    <w:lvl w:ilvl="7" w:tplc="039E3882">
      <w:numFmt w:val="decimal"/>
      <w:lvlText w:val=""/>
      <w:lvlJc w:val="left"/>
    </w:lvl>
    <w:lvl w:ilvl="8" w:tplc="30D817AE">
      <w:numFmt w:val="decimal"/>
      <w:lvlText w:val=""/>
      <w:lvlJc w:val="left"/>
    </w:lvl>
  </w:abstractNum>
  <w:abstractNum w:abstractNumId="1" w15:restartNumberingAfterBreak="0">
    <w:nsid w:val="3BB30E93"/>
    <w:multiLevelType w:val="hybridMultilevel"/>
    <w:tmpl w:val="94424618"/>
    <w:lvl w:ilvl="0" w:tplc="816A1F46">
      <w:start w:val="1"/>
      <w:numFmt w:val="decimal"/>
      <w:lvlText w:val="%1."/>
      <w:lvlJc w:val="left"/>
      <w:pPr>
        <w:ind w:left="540" w:hanging="300"/>
      </w:pPr>
    </w:lvl>
    <w:lvl w:ilvl="1" w:tplc="3E64D636">
      <w:numFmt w:val="decimal"/>
      <w:lvlText w:val=""/>
      <w:lvlJc w:val="left"/>
    </w:lvl>
    <w:lvl w:ilvl="2" w:tplc="7DDC046C">
      <w:numFmt w:val="decimal"/>
      <w:lvlText w:val=""/>
      <w:lvlJc w:val="left"/>
    </w:lvl>
    <w:lvl w:ilvl="3" w:tplc="F4FE541C">
      <w:numFmt w:val="decimal"/>
      <w:lvlText w:val=""/>
      <w:lvlJc w:val="left"/>
    </w:lvl>
    <w:lvl w:ilvl="4" w:tplc="060A1D76">
      <w:numFmt w:val="decimal"/>
      <w:lvlText w:val=""/>
      <w:lvlJc w:val="left"/>
    </w:lvl>
    <w:lvl w:ilvl="5" w:tplc="92EAC646">
      <w:numFmt w:val="decimal"/>
      <w:lvlText w:val=""/>
      <w:lvlJc w:val="left"/>
    </w:lvl>
    <w:lvl w:ilvl="6" w:tplc="F4C6F836">
      <w:numFmt w:val="decimal"/>
      <w:lvlText w:val=""/>
      <w:lvlJc w:val="left"/>
    </w:lvl>
    <w:lvl w:ilvl="7" w:tplc="E74CF9D2">
      <w:numFmt w:val="decimal"/>
      <w:lvlText w:val=""/>
      <w:lvlJc w:val="left"/>
    </w:lvl>
    <w:lvl w:ilvl="8" w:tplc="8C84199C">
      <w:numFmt w:val="decimal"/>
      <w:lvlText w:val=""/>
      <w:lvlJc w:val="left"/>
    </w:lvl>
  </w:abstractNum>
  <w:abstractNum w:abstractNumId="2" w15:restartNumberingAfterBreak="0">
    <w:nsid w:val="7DB9065C"/>
    <w:multiLevelType w:val="hybridMultilevel"/>
    <w:tmpl w:val="7D9424F4"/>
    <w:lvl w:ilvl="0" w:tplc="F0268D96">
      <w:start w:val="1"/>
      <w:numFmt w:val="bullet"/>
      <w:lvlText w:val="●"/>
      <w:lvlJc w:val="left"/>
      <w:pPr>
        <w:ind w:left="720" w:hanging="360"/>
      </w:pPr>
    </w:lvl>
    <w:lvl w:ilvl="1" w:tplc="52304BD6">
      <w:start w:val="1"/>
      <w:numFmt w:val="bullet"/>
      <w:lvlText w:val="○"/>
      <w:lvlJc w:val="left"/>
      <w:pPr>
        <w:ind w:left="1440" w:hanging="360"/>
      </w:pPr>
    </w:lvl>
    <w:lvl w:ilvl="2" w:tplc="B8648AC4">
      <w:start w:val="1"/>
      <w:numFmt w:val="bullet"/>
      <w:lvlText w:val="■"/>
      <w:lvlJc w:val="left"/>
      <w:pPr>
        <w:ind w:left="2160" w:hanging="360"/>
      </w:pPr>
    </w:lvl>
    <w:lvl w:ilvl="3" w:tplc="2794CB3E">
      <w:start w:val="1"/>
      <w:numFmt w:val="bullet"/>
      <w:lvlText w:val="●"/>
      <w:lvlJc w:val="left"/>
      <w:pPr>
        <w:ind w:left="2880" w:hanging="360"/>
      </w:pPr>
    </w:lvl>
    <w:lvl w:ilvl="4" w:tplc="C406C4B4">
      <w:start w:val="1"/>
      <w:numFmt w:val="bullet"/>
      <w:lvlText w:val="○"/>
      <w:lvlJc w:val="left"/>
      <w:pPr>
        <w:ind w:left="3600" w:hanging="360"/>
      </w:pPr>
    </w:lvl>
    <w:lvl w:ilvl="5" w:tplc="B4220A08">
      <w:start w:val="1"/>
      <w:numFmt w:val="bullet"/>
      <w:lvlText w:val="■"/>
      <w:lvlJc w:val="left"/>
      <w:pPr>
        <w:ind w:left="4320" w:hanging="360"/>
      </w:pPr>
    </w:lvl>
    <w:lvl w:ilvl="6" w:tplc="17FA446A">
      <w:start w:val="1"/>
      <w:numFmt w:val="bullet"/>
      <w:lvlText w:val="●"/>
      <w:lvlJc w:val="left"/>
      <w:pPr>
        <w:ind w:left="5040" w:hanging="360"/>
      </w:pPr>
    </w:lvl>
    <w:lvl w:ilvl="7" w:tplc="20FA966E">
      <w:start w:val="1"/>
      <w:numFmt w:val="bullet"/>
      <w:lvlText w:val="●"/>
      <w:lvlJc w:val="left"/>
      <w:pPr>
        <w:ind w:left="5760" w:hanging="360"/>
      </w:pPr>
    </w:lvl>
    <w:lvl w:ilvl="8" w:tplc="64AC96BC">
      <w:start w:val="1"/>
      <w:numFmt w:val="bullet"/>
      <w:lvlText w:val="●"/>
      <w:lvlJc w:val="left"/>
      <w:pPr>
        <w:ind w:left="6480" w:hanging="360"/>
      </w:pPr>
    </w:lvl>
  </w:abstractNum>
  <w:num w:numId="1" w16cid:durableId="340742571">
    <w:abstractNumId w:val="2"/>
    <w:lvlOverride w:ilvl="0">
      <w:startOverride w:val="1"/>
    </w:lvlOverride>
  </w:num>
  <w:num w:numId="2" w16cid:durableId="20401623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A96"/>
    <w:rsid w:val="002D7571"/>
    <w:rsid w:val="00307738"/>
    <w:rsid w:val="00572A96"/>
    <w:rsid w:val="00F3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7D8E6"/>
  <w15:docId w15:val="{F7828C35-44E3-4E2E-9A52-8B3B8AE6B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1F2937"/>
        <w:sz w:val="21"/>
        <w:szCs w:val="21"/>
        <w:lang w:val="es-C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40" w:after="160"/>
      <w:outlineLvl w:val="0"/>
    </w:pPr>
    <w:rPr>
      <w:b/>
      <w:bCs/>
      <w:color w:val="172B50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60" w:after="120"/>
      <w:outlineLvl w:val="1"/>
    </w:pPr>
    <w:rPr>
      <w:b/>
      <w:bCs/>
      <w:color w:val="008184"/>
      <w:sz w:val="26"/>
      <w:szCs w:val="26"/>
    </w:rPr>
  </w:style>
  <w:style w:type="paragraph" w:styleId="Ttulo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72B5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D757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D7571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3020</Words>
  <Characters>16616</Characters>
  <Application>Microsoft Office Word</Application>
  <DocSecurity>0</DocSecurity>
  <Lines>138</Lines>
  <Paragraphs>39</Paragraphs>
  <ScaleCrop>false</ScaleCrop>
  <Company/>
  <LinksUpToDate>false</LinksUpToDate>
  <CharactersWithSpaces>19597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Vision</dc:title>
  <dc:creator>Equipo CitaJusta</dc:creator>
  <dc:description>Product Vision</dc:description>
  <cp:lastModifiedBy>DIEGO . SIMON CANALES</cp:lastModifiedBy>
  <cp:revision>2</cp:revision>
  <dcterms:created xsi:type="dcterms:W3CDTF">2026-10-17T18:23:00Z</dcterms:created>
  <dcterms:modified xsi:type="dcterms:W3CDTF">2026-10-17T18:23:00Z</dcterms:modified>
</cp:coreProperties>
</file>