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5B6573"/>
          <w:sz w:val="22"/>
        </w:rPr>
        <w:t>CITAJUSTA</w:t>
      </w:r>
    </w:p>
    <w:p>
      <w:pPr>
        <w:pStyle w:val="Title"/>
        <w:spacing w:after="80"/>
      </w:pPr>
      <w:r>
        <w:t>Arquitectura de Software</w:t>
      </w:r>
    </w:p>
    <w:p>
      <w:r>
        <w:rPr>
          <w:b/>
        </w:rPr>
        <w:t>Proyecto de Título · Ingeniería en Informática</w:t>
      </w:r>
    </w:p>
    <w:p>
      <w:pPr>
        <w:spacing w:after="20"/>
      </w:pPr>
      <w:r>
        <w:rPr>
          <w:b/>
        </w:rPr>
        <w:t xml:space="preserve">Sede: </w:t>
      </w:r>
      <w:r>
        <w:t>Duoc UC Puente Alto</w:t>
      </w:r>
    </w:p>
    <w:p>
      <w:pPr>
        <w:spacing w:after="20"/>
      </w:pPr>
      <w:r>
        <w:rPr>
          <w:b/>
        </w:rPr>
        <w:t xml:space="preserve">Versión: </w:t>
      </w:r>
      <w:r>
        <w:t>0.2</w:t>
      </w:r>
    </w:p>
    <w:p>
      <w:pPr>
        <w:spacing w:after="20"/>
      </w:pPr>
      <w:r>
        <w:rPr>
          <w:b/>
        </w:rPr>
        <w:t xml:space="preserve">Estado: </w:t>
      </w:r>
      <w:r>
        <w:t>Actualización arquitectónica</w:t>
      </w:r>
    </w:p>
    <w:p>
      <w:pPr>
        <w:spacing w:after="20"/>
      </w:pPr>
      <w:r>
        <w:rPr>
          <w:b/>
        </w:rPr>
        <w:t xml:space="preserve">Fecha: </w:t>
      </w:r>
      <w:r>
        <w:t>04 de octubre de 2026</w:t>
      </w:r>
    </w:p>
    <w:p>
      <w:pPr>
        <w:spacing w:before="400" w:after="300"/>
        <w:jc w:val="center"/>
      </w:pPr>
      <w:r>
        <w:drawing>
          <wp:inline xmlns:a="http://schemas.openxmlformats.org/drawingml/2006/main" xmlns:pic="http://schemas.openxmlformats.org/drawingml/2006/picture">
            <wp:extent cx="2148840" cy="2148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Integrantes</w:t>
      </w:r>
    </w:p>
    <w:p>
      <w:pPr>
        <w:spacing w:after="20"/>
        <w:ind w:left="259"/>
      </w:pPr>
      <w:r>
        <w:t>• Matías Andrés Torres</w:t>
      </w:r>
    </w:p>
    <w:p>
      <w:pPr>
        <w:spacing w:after="20"/>
        <w:ind w:left="259"/>
      </w:pPr>
      <w:r>
        <w:t>• Bastian Sepúlveda</w:t>
      </w:r>
    </w:p>
    <w:p>
      <w:pPr>
        <w:spacing w:after="20"/>
        <w:ind w:left="259"/>
      </w:pPr>
      <w:r>
        <w:t>• Diego Simon</w:t>
      </w:r>
    </w:p>
    <w:p>
      <w:r>
        <w:rPr>
          <w:b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B2D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2520"/>
            <w:shd w:fill="0B2D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520"/>
            <w:shd w:fill="0B2D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520"/>
            <w:shd w:fill="0B2D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0.1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25-08-2026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Equipo CitaJusta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Creación inicial del documento.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0.2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04-10-2026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Equipo CitaJusta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Actualización al estado real del repositorio e incorporación del plan de integraciones externas HU-039 a HU-043.</w:t>
            </w:r>
          </w:p>
        </w:tc>
      </w:tr>
    </w:tbl>
    <w:p>
      <w:r>
        <w:br w:type="page"/>
      </w:r>
    </w:p>
    <w:p>
      <w:pPr>
        <w:pStyle w:val="Heading1"/>
      </w:pPr>
      <w:r>
        <w:t>1. Propósito y estado de la arquitectura</w:t>
      </w:r>
    </w:p>
    <w:p>
      <w:r>
        <w:t>La versión 0.2 actualiza la arquitectura de CitaJusta al estado real del repositorio en main al 04-10-2026. La solución continúa como monorepo y monolito modular: dos clientes comparten una API NestJS, PostgreSQL es la fuente persistente de verdad y Prisma 7.10.0 gestiona el acceso a datos y migraciones.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B2D4D"/>
                <w:sz w:val="18"/>
              </w:rPr>
              <w:t>Estado real: Web y Desktop están implementados; Desktop ya contiene Catálogo, Profesionales, Agenda, Disponibilidad/Bloqueos, Asistencia, Reasignaciones, Reportes y Auditoría. Las integraciones externas HU-039 a HU-043 aún no están implementadas.</w:t>
            </w:r>
          </w:p>
        </w:tc>
      </w:tr>
    </w:tbl>
    <w:p>
      <w:pPr>
        <w:spacing w:after="0"/>
      </w:pPr>
    </w:p>
    <w:p>
      <w:pPr>
        <w:pStyle w:val="Heading1"/>
      </w:pPr>
      <w:r>
        <w:t>2. Arquitectura de alto nivel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Capa</w:t>
            </w:r>
          </w:p>
        </w:tc>
        <w:tc>
          <w:tcPr>
            <w:tcW w:type="dxa" w:w="3168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Componentes actuales</w:t>
            </w:r>
          </w:p>
        </w:tc>
        <w:tc>
          <w:tcPr>
            <w:tcW w:type="dxa" w:w="5472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Responsabilidad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Clientes</w:t>
            </w:r>
          </w:p>
        </w:tc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apps/web · apps/desktop</w:t>
            </w:r>
          </w:p>
        </w:tc>
        <w:tc>
          <w:tcPr>
            <w:tcW w:type="dxa" w:w="54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Presentación, captura de intención y consumo de API. No deciden autorización ni reglas críticas.</w:t>
            </w:r>
          </w:p>
        </w:tc>
      </w:tr>
      <w:tr>
        <w:tc>
          <w:tcPr>
            <w:tcW w:type="dxa" w:w="2016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Código compartido</w:t>
            </w:r>
          </w:p>
        </w:tc>
        <w:tc>
          <w:tcPr>
            <w:tcW w:type="dxa" w:w="3168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packages/client-core</w:t>
            </w:r>
          </w:p>
        </w:tc>
        <w:tc>
          <w:tcPr>
            <w:tcW w:type="dxa" w:w="5472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Cliente HTTP/sesión y contratos compartidos entre clientes cuando corresponde.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Backend</w:t>
            </w:r>
          </w:p>
        </w:tc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apps/api · NestJS</w:t>
            </w:r>
          </w:p>
        </w:tc>
        <w:tc>
          <w:tcPr>
            <w:tcW w:type="dxa" w:w="54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API REST, Auth/RBAC, contexto institucional, dominio, transacciones, auditoría, reportes y coordinación de integraciones.</w:t>
            </w:r>
          </w:p>
        </w:tc>
      </w:tr>
      <w:tr>
        <w:tc>
          <w:tcPr>
            <w:tcW w:type="dxa" w:w="2016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Persistencia</w:t>
            </w:r>
          </w:p>
        </w:tc>
        <w:tc>
          <w:tcPr>
            <w:tcW w:type="dxa" w:w="3168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PostgreSQL + Prisma 7.10.0</w:t>
            </w:r>
          </w:p>
        </w:tc>
        <w:tc>
          <w:tcPr>
            <w:tcW w:type="dxa" w:w="5472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Fuente de verdad, relaciones, constraints, migraciones y soporte transaccional.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Integraciones externas</w:t>
            </w:r>
          </w:p>
        </w:tc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Sprint 8: Resend, Google, Maps; WhatsApp condicionada</w:t>
            </w:r>
          </w:p>
        </w:tc>
        <w:tc>
          <w:tcPr>
            <w:tcW w:type="dxa" w:w="54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Adaptadores externos sin autoridad sobre el estado del dominio.</w:t>
            </w:r>
          </w:p>
        </w:tc>
      </w:tr>
    </w:tbl>
    <w:p>
      <w:pPr>
        <w:spacing w:after="0"/>
      </w:pPr>
    </w:p>
    <w:p>
      <w:pPr>
        <w:pStyle w:val="Heading1"/>
      </w:pPr>
      <w:r>
        <w:t>3. Stack técnico actual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7056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Tecnología / versión observada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Runtime</w:t>
            </w:r>
          </w:p>
        </w:tc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Node.js 24.x</w:t>
            </w:r>
          </w:p>
        </w:tc>
      </w:tr>
      <w:tr>
        <w:tc>
          <w:tcPr>
            <w:tcW w:type="dxa" w:w="302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Backend</w:t>
            </w:r>
          </w:p>
        </w:tc>
        <w:tc>
          <w:tcPr>
            <w:tcW w:type="dxa" w:w="7056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NestJS 12 + TypeScript strict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Persistencia</w:t>
            </w:r>
          </w:p>
        </w:tc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PostgreSQL + Prisma 7.10.0</w:t>
            </w:r>
          </w:p>
        </w:tc>
      </w:tr>
      <w:tr>
        <w:tc>
          <w:tcPr>
            <w:tcW w:type="dxa" w:w="302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Web</w:t>
            </w:r>
          </w:p>
        </w:tc>
        <w:tc>
          <w:tcPr>
            <w:tcW w:type="dxa" w:w="7056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React 19 + Vite 8 + TypeScript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Desktop</w:t>
            </w:r>
          </w:p>
        </w:tc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Tauri 2 + React + Vite + TypeScript</w:t>
            </w:r>
          </w:p>
        </w:tc>
      </w:tr>
      <w:tr>
        <w:tc>
          <w:tcPr>
            <w:tcW w:type="dxa" w:w="302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Monorepo</w:t>
            </w:r>
          </w:p>
        </w:tc>
        <w:tc>
          <w:tcPr>
            <w:tcW w:type="dxa" w:w="7056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npm workspaces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Pruebas</w:t>
            </w:r>
          </w:p>
        </w:tc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node:test + E2E reales con PostgreSQL para backend crítico</w:t>
            </w:r>
          </w:p>
        </w:tc>
      </w:tr>
    </w:tbl>
    <w:p>
      <w:pPr>
        <w:spacing w:after="0"/>
      </w:pPr>
    </w:p>
    <w:p>
      <w:pPr>
        <w:pStyle w:val="Heading1"/>
      </w:pPr>
      <w:r>
        <w:t>4. Principios arquitectónicos</w:t>
      </w:r>
    </w:p>
    <w:p>
      <w:pPr>
        <w:ind w:left="259" w:hanging="173"/>
      </w:pPr>
      <w:r>
        <w:rPr>
          <w:b/>
        </w:rPr>
        <w:t xml:space="preserve">• </w:t>
      </w:r>
      <w:r>
        <w:t>Backend como autoridad para identidad, permisos, tenant, elegibilidad, disponibilidad, ranking y transiciones de estado.</w:t>
      </w:r>
    </w:p>
    <w:p>
      <w:pPr>
        <w:ind w:left="259" w:hanging="173"/>
      </w:pPr>
      <w:r>
        <w:rPr>
          <w:b/>
        </w:rPr>
        <w:t xml:space="preserve">• </w:t>
      </w:r>
      <w:r>
        <w:t>Monolito modular: límites por dominio sin introducir microservicios prematuramente.</w:t>
      </w:r>
    </w:p>
    <w:p>
      <w:pPr>
        <w:ind w:left="259" w:hanging="173"/>
      </w:pPr>
      <w:r>
        <w:rPr>
          <w:b/>
        </w:rPr>
        <w:t xml:space="preserve">• </w:t>
      </w:r>
      <w:r>
        <w:t>Integridad transaccional y trazabilidad por sobre conveniencia de UI.</w:t>
      </w:r>
    </w:p>
    <w:p>
      <w:pPr>
        <w:ind w:left="259" w:hanging="173"/>
      </w:pPr>
      <w:r>
        <w:rPr>
          <w:b/>
        </w:rPr>
        <w:t xml:space="preserve">• </w:t>
      </w:r>
      <w:r>
        <w:t>DTOs controlados y TypeScript strict; evitar any y soluciones temporales que degraden mantenibilidad.</w:t>
      </w:r>
    </w:p>
    <w:p>
      <w:pPr>
        <w:ind w:left="259" w:hanging="173"/>
      </w:pPr>
      <w:r>
        <w:rPr>
          <w:b/>
        </w:rPr>
        <w:t xml:space="preserve">• </w:t>
      </w:r>
      <w:r>
        <w:t>No agregar dependencias, tablas o migraciones si una HU puede resolverse correctamente con la arquitectura existente.</w:t>
      </w:r>
    </w:p>
    <w:p>
      <w:pPr>
        <w:ind w:left="259" w:hanging="173"/>
      </w:pPr>
      <w:r>
        <w:rPr>
          <w:b/>
        </w:rPr>
        <w:t xml:space="preserve">• </w:t>
      </w:r>
      <w:r>
        <w:t>Las integraciones externas se implementan como adaptadores, no como lógica distribuida en los clientes.</w:t>
      </w:r>
    </w:p>
    <w:p>
      <w:pPr>
        <w:pStyle w:val="Heading1"/>
      </w:pPr>
      <w:r>
        <w:t>5. Clientes</w:t>
      </w:r>
    </w:p>
    <w:p>
      <w:pPr>
        <w:pStyle w:val="Heading2"/>
      </w:pPr>
      <w:r>
        <w:t>5.1 Aplicación Web</w:t>
      </w:r>
    </w:p>
    <w:p>
      <w:r>
        <w:t>La Web cubre el flujo del usuario final: autenticación, búsqueda y disponibilidad, reserva, Mis citas, cancelación, lista de espera/preferencias, ofertas y notificaciones internas. La modernización de UX de ofertas se cerró como HU-035.</w:t>
      </w:r>
    </w:p>
    <w:p>
      <w:pPr>
        <w:pStyle w:val="Heading2"/>
      </w:pPr>
      <w:r>
        <w:t>5.2 Aplicación Desktop</w:t>
      </w:r>
    </w:p>
    <w:p>
      <w:r>
        <w:t>La aplicación institucional Tauri 2 consume la misma API y habilita capacidades según permisos, no por rol fijo. Al corte v0.2 incluye gestión de sedes/servicios, profesionales, agenda, disponibilidad/bloqueos, asistencia, supervisión de reasignaciones, reportes y auditoría. Reportes y Auditoría son read-only.</w:t>
      </w:r>
    </w:p>
    <w:p>
      <w:pPr>
        <w:pStyle w:val="Heading1"/>
      </w:pPr>
      <w:r>
        <w:t>6. Backend modular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Dominio</w:t>
            </w:r>
          </w:p>
        </w:tc>
        <w:tc>
          <w:tcPr>
            <w:tcW w:type="dxa" w:w="7848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Módulos reales / responsabilidades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Seguridad</w:t>
            </w:r>
          </w:p>
        </w:tc>
        <w:tc>
          <w:tcPr>
            <w:tcW w:type="dxa" w:w="78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auth, authorization, users, sessions implícitas en Auth: JWT, RBAC y contexto.</w:t>
            </w:r>
          </w:p>
        </w:tc>
      </w:tr>
      <w:tr>
        <w:tc>
          <w:tcPr>
            <w:tcW w:type="dxa" w:w="2232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Organización</w:t>
            </w:r>
          </w:p>
        </w:tc>
        <w:tc>
          <w:tcPr>
            <w:tcW w:type="dxa" w:w="7848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institutions, services, professionals y relaciones institucionales.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Agenda</w:t>
            </w:r>
          </w:p>
        </w:tc>
        <w:tc>
          <w:tcPr>
            <w:tcW w:type="dxa" w:w="78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availability, agenda, appointments y estados operativos.</w:t>
            </w:r>
          </w:p>
        </w:tc>
      </w:tr>
      <w:tr>
        <w:tc>
          <w:tcPr>
            <w:tcW w:type="dxa" w:w="2232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Lista de espera</w:t>
            </w:r>
          </w:p>
        </w:tc>
        <w:tc>
          <w:tcPr>
            <w:tcW w:type="dxa" w:w="7848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waitlist y preferencias.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Reasignación</w:t>
            </w:r>
          </w:p>
        </w:tc>
        <w:tc>
          <w:tcPr>
            <w:tcW w:type="dxa" w:w="78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reassignments, reassignment-policy, ofertas, ranking/snapshots y continuidad.</w:t>
            </w:r>
          </w:p>
        </w:tc>
      </w:tr>
      <w:tr>
        <w:tc>
          <w:tcPr>
            <w:tcW w:type="dxa" w:w="2232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Comunicación</w:t>
            </w:r>
          </w:p>
        </w:tc>
        <w:tc>
          <w:tcPr>
            <w:tcW w:type="dxa" w:w="7848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notifications internas; futura capa integrations/adapters para proveedores externos.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Control</w:t>
            </w:r>
          </w:p>
        </w:tc>
        <w:tc>
          <w:tcPr>
            <w:tcW w:type="dxa" w:w="78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audit y trazabilidad de eventos relevantes.</w:t>
            </w:r>
          </w:p>
        </w:tc>
      </w:tr>
      <w:tr>
        <w:tc>
          <w:tcPr>
            <w:tcW w:type="dxa" w:w="2232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Analítica</w:t>
            </w:r>
          </w:p>
        </w:tc>
        <w:tc>
          <w:tcPr>
            <w:tcW w:type="dxa" w:w="7848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reports institucionales read-only.</w:t>
            </w:r>
          </w:p>
        </w:tc>
      </w:tr>
    </w:tbl>
    <w:p>
      <w:pPr>
        <w:spacing w:after="0"/>
      </w:pPr>
    </w:p>
    <w:p>
      <w:pPr>
        <w:pStyle w:val="Heading1"/>
      </w:pPr>
      <w:r>
        <w:t>7. Persistencia, transacciones y reglas críticas</w:t>
      </w:r>
    </w:p>
    <w:p>
      <w:r>
        <w:t>PostgreSQL conserva el estado autoritativo. Prisma 7.10.0 se mantiene como versión acordada. Las operaciones críticas deben ser atómicas y respetar las reglas ya implementadas del dominio.</w:t>
      </w:r>
    </w:p>
    <w:p>
      <w:pPr>
        <w:ind w:left="259" w:hanging="173"/>
      </w:pPr>
      <w:r>
        <w:rPr>
          <w:b/>
        </w:rPr>
        <w:t xml:space="preserve">• </w:t>
      </w:r>
      <w:r>
        <w:t>Appointment.agendaSlotId / citas.cupo_id es único.</w:t>
      </w:r>
    </w:p>
    <w:p>
      <w:pPr>
        <w:ind w:left="259" w:hanging="173"/>
      </w:pPr>
      <w:r>
        <w:rPr>
          <w:b/>
        </w:rPr>
        <w:t xml:space="preserve">• </w:t>
      </w:r>
      <w:r>
        <w:t>Una reasignación nunca crea una segunda Appointment para el mismo slot.</w:t>
      </w:r>
    </w:p>
    <w:p>
      <w:pPr>
        <w:ind w:left="259" w:hanging="173"/>
      </w:pPr>
      <w:r>
        <w:rPr>
          <w:b/>
        </w:rPr>
        <w:t xml:space="preserve">• </w:t>
      </w:r>
      <w:r>
        <w:t>La aceptación reutiliza/transfiere la Appointment existente asociada al slot RELEASED.</w:t>
      </w:r>
    </w:p>
    <w:p>
      <w:pPr>
        <w:ind w:left="259" w:hanging="173"/>
      </w:pPr>
      <w:r>
        <w:rPr>
          <w:b/>
        </w:rPr>
        <w:t xml:space="preserve">• </w:t>
      </w:r>
      <w:r>
        <w:t>AgendaSlot usa lockVersion; la concurrencia se resuelve con control optimista/transaccional, no locks en memoria.</w:t>
      </w:r>
    </w:p>
    <w:p>
      <w:pPr>
        <w:ind w:left="259" w:hanging="173"/>
      </w:pPr>
      <w:r>
        <w:rPr>
          <w:b/>
        </w:rPr>
        <w:t xml:space="preserve">• </w:t>
      </w:r>
      <w:r>
        <w:t>Se mantienen snapshots e historiales necesarios para trazabilidad y no se alteran retroactivamente decisiones cerradas.</w:t>
      </w:r>
    </w:p>
    <w:p>
      <w:pPr>
        <w:ind w:left="259" w:hanging="173"/>
      </w:pPr>
      <w:r>
        <w:rPr>
          <w:b/>
        </w:rPr>
        <w:t xml:space="preserve">• </w:t>
      </w:r>
      <w:r>
        <w:t>Serializable + retry acotado se aplica cuando corresponde a los patrones existentes y sólo ante conflictos reconocidos.</w:t>
      </w:r>
    </w:p>
    <w:p>
      <w:pPr>
        <w:pStyle w:val="Heading1"/>
      </w:pPr>
      <w:r>
        <w:t>8. Seguridad y aislamiento multi-tenant</w:t>
      </w:r>
    </w:p>
    <w:p>
      <w:pPr>
        <w:ind w:left="259" w:hanging="173"/>
      </w:pPr>
      <w:r>
        <w:rPr>
          <w:b/>
        </w:rPr>
        <w:t xml:space="preserve">• </w:t>
      </w:r>
      <w:r>
        <w:t>RBAC y AuthorizationContext se mantienen como arquitectura base.</w:t>
      </w:r>
    </w:p>
    <w:p>
      <w:pPr>
        <w:ind w:left="259" w:hanging="173"/>
      </w:pPr>
      <w:r>
        <w:rPr>
          <w:b/>
        </w:rPr>
        <w:t xml:space="preserve">• </w:t>
      </w:r>
      <w:r>
        <w:t>Institución/sede/actor se derivan del contexto autenticado y no del body del cliente.</w:t>
      </w:r>
    </w:p>
    <w:p>
      <w:pPr>
        <w:ind w:left="259" w:hanging="173"/>
      </w:pPr>
      <w:r>
        <w:rPr>
          <w:b/>
        </w:rPr>
        <w:t xml:space="preserve">• </w:t>
      </w:r>
      <w:r>
        <w:t>Lecturas y escrituras institucionales filtran el tenant autorizado y previenen IDOR/cross-tenant.</w:t>
      </w:r>
    </w:p>
    <w:p>
      <w:pPr>
        <w:ind w:left="259" w:hanging="173"/>
      </w:pPr>
      <w:r>
        <w:rPr>
          <w:b/>
        </w:rPr>
        <w:t xml:space="preserve">• </w:t>
      </w:r>
      <w:r>
        <w:t>Los DTOs no exponen secretos ni modelos Prisma completos.</w:t>
      </w:r>
    </w:p>
    <w:p>
      <w:pPr>
        <w:ind w:left="259" w:hanging="173"/>
      </w:pPr>
      <w:r>
        <w:rPr>
          <w:b/>
        </w:rPr>
        <w:t xml:space="preserve">• </w:t>
      </w:r>
      <w:r>
        <w:t>Logs técnicos y auditoría son mecanismos distintos; ambos deben evitar PII y secretos innecesarios.</w:t>
      </w:r>
    </w:p>
    <w:p>
      <w:pPr>
        <w:pStyle w:val="Heading1"/>
      </w:pPr>
      <w:r>
        <w:t>9. Notificaciones internas e integraciones externas</w:t>
      </w:r>
    </w:p>
    <w:p>
      <w:r>
        <w:t>Las notificaciones internas HU-024 siguen siendo una capacidad propia de CitaJusta. Sprint 8 agrega canales y servicios externos sin convertirlos en dependencia del núcleo. La regla de integración es: Dominio CitaJusta → interfaz/adaptador → proveedor externo.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Integración</w:t>
            </w:r>
          </w:p>
        </w:tc>
        <w:tc>
          <w:tcPr>
            <w:tcW w:type="dxa" w:w="3456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Rol en la arquitectura</w:t>
            </w:r>
          </w:p>
        </w:tc>
        <w:tc>
          <w:tcPr>
            <w:tcW w:type="dxa" w:w="5184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Decisión v0.2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Resend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Transporte de correo transaccional</w:t>
            </w:r>
          </w:p>
        </w:tc>
        <w:tc>
          <w:tcPr>
            <w:tcW w:type="dxa" w:w="51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Primera integración externa; backend desacoplado del SDK/proveedor concreto mediante adaptador.</w:t>
            </w:r>
          </w:p>
        </w:tc>
      </w:tr>
      <w:tr>
        <w:tc>
          <w:tcPr>
            <w:tcW w:type="dxa" w:w="230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Google OAuth/OIDC</w:t>
            </w:r>
          </w:p>
        </w:tc>
        <w:tc>
          <w:tcPr>
            <w:tcW w:type="dxa" w:w="3456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Identidad federada adicional</w:t>
            </w:r>
          </w:p>
        </w:tc>
        <w:tc>
          <w:tcPr>
            <w:tcW w:type="dxa" w:w="518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Vincula identidad externa con usuario local; permisos y sesión CitaJusta siguen siendo locales.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Google Calendar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Exportación de cita confirmada</w:t>
            </w:r>
          </w:p>
        </w:tc>
        <w:tc>
          <w:tcPr>
            <w:tcW w:type="dxa" w:w="51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Copia autorizada por el usuario; no fuente de verdad ni sincronización bidireccional por defecto.</w:t>
            </w:r>
          </w:p>
        </w:tc>
      </w:tr>
      <w:tr>
        <w:tc>
          <w:tcPr>
            <w:tcW w:type="dxa" w:w="230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Google Maps</w:t>
            </w:r>
          </w:p>
        </w:tc>
        <w:tc>
          <w:tcPr>
            <w:tcW w:type="dxa" w:w="3456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Visualización/ruta de sede</w:t>
            </w:r>
          </w:p>
        </w:tc>
        <w:tc>
          <w:tcPr>
            <w:tcW w:type="dxa" w:w="518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Consume dirección/coordenadas reales de Branch; no inventa geolocalización.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WhatsApp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Canal futuro de notificación</w:t>
            </w:r>
          </w:p>
        </w:tc>
        <w:tc>
          <w:tcPr>
            <w:tcW w:type="dxa" w:w="51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5"/>
              </w:rPr>
              <w:t>Condicionado a proveedor, consentimiento, plantillas y costos; no bloquea R1.0 si no se aprueba.</w:t>
            </w:r>
          </w:p>
        </w:tc>
      </w:tr>
    </w:tbl>
    <w:p>
      <w:pPr>
        <w:spacing w:after="0"/>
      </w:pPr>
    </w:p>
    <w:p>
      <w:pPr>
        <w:pStyle w:val="Heading1"/>
      </w:pPr>
      <w:r>
        <w:t>10. Diseño de la capa de integración</w:t>
      </w:r>
    </w:p>
    <w:p>
      <w:r>
        <w:t>La implementación preferida es una frontera de adaptadores dentro de apps/api, por ejemplo bajo un espacio integrations o providers, manteniendo módulos de dominio libres de detalles de SDK, URLs o credenciales. La estructura exacta se decidirá en cada HU según el repositorio real y no obliga a crear un módulo genérico si no aporta valor.</w:t>
      </w:r>
    </w:p>
    <w:p>
      <w:pPr>
        <w:ind w:left="259" w:hanging="173"/>
      </w:pPr>
      <w:r>
        <w:rPr>
          <w:b/>
        </w:rPr>
        <w:t xml:space="preserve">• </w:t>
      </w:r>
      <w:r>
        <w:t>Interfaces pequeñas orientadas a capacidades, no a proveedores.</w:t>
      </w:r>
    </w:p>
    <w:p>
      <w:pPr>
        <w:ind w:left="259" w:hanging="173"/>
      </w:pPr>
      <w:r>
        <w:rPr>
          <w:b/>
        </w:rPr>
        <w:t xml:space="preserve">• </w:t>
      </w:r>
      <w:r>
        <w:t>Configuración por ambiente y secretos fuera del código fuente.</w:t>
      </w:r>
    </w:p>
    <w:p>
      <w:pPr>
        <w:ind w:left="259" w:hanging="173"/>
      </w:pPr>
      <w:r>
        <w:rPr>
          <w:b/>
        </w:rPr>
        <w:t xml:space="preserve">• </w:t>
      </w:r>
      <w:r>
        <w:t>Timeouts y reintentos acotados; fallos externos no se convierten en errores de negocio internos arbitrarios.</w:t>
      </w:r>
    </w:p>
    <w:p>
      <w:pPr>
        <w:ind w:left="259" w:hanging="173"/>
      </w:pPr>
      <w:r>
        <w:rPr>
          <w:b/>
        </w:rPr>
        <w:t xml:space="preserve">• </w:t>
      </w:r>
      <w:r>
        <w:t>Idempotencia/deduplicación definida por evento cuando sea necesaria.</w:t>
      </w:r>
    </w:p>
    <w:p>
      <w:pPr>
        <w:ind w:left="259" w:hanging="173"/>
      </w:pPr>
      <w:r>
        <w:rPr>
          <w:b/>
        </w:rPr>
        <w:t xml:space="preserve">• </w:t>
      </w:r>
      <w:r>
        <w:t>Pruebas unitarias con dobles del proveedor y validación controlada de integración real.</w:t>
      </w:r>
    </w:p>
    <w:p>
      <w:pPr>
        <w:pStyle w:val="Heading1"/>
      </w:pPr>
      <w:r>
        <w:t>11. Reglas específicas de Google</w:t>
      </w:r>
    </w:p>
    <w:p>
      <w:pPr>
        <w:pStyle w:val="Heading2"/>
      </w:pPr>
      <w:r>
        <w:t>11.1 OAuth / OIDC</w:t>
      </w:r>
    </w:p>
    <w:p>
      <w:r>
        <w:t>Se implementará como método adicional de autenticación. Los claims de Google no otorgan permisos de CitaJusta por sí mismos. La aplicación debe resolver la identidad local y luego aplicar el mismo RBAC/contexto existente.</w:t>
      </w:r>
    </w:p>
    <w:p>
      <w:pPr>
        <w:pStyle w:val="Heading2"/>
      </w:pPr>
      <w:r>
        <w:t>11.2 Calendar</w:t>
      </w:r>
    </w:p>
    <w:p>
      <w:r>
        <w:t>Calendar depende de autorización explícita del usuario. En esta fase sólo se planifica incorporar una cita confirmada al calendario. PostgreSQL sigue siendo la autoridad; una edición o eliminación externa no modifica automáticamente la cita.</w:t>
      </w:r>
    </w:p>
    <w:p>
      <w:pPr>
        <w:pStyle w:val="Heading2"/>
      </w:pPr>
      <w:r>
        <w:t>11.3 Maps</w:t>
      </w:r>
    </w:p>
    <w:p>
      <w:r>
        <w:t>Branch ya dispone de addressLine1/addressLine2, municipality, region, country, latitude y longitude opcionales. Maps debe usar esos datos si existen. Si la integración requiere SDK de cliente o servicio backend, la decisión se documentará al implementar HU-042 y las claves se restringirán según su naturaleza.</w:t>
      </w:r>
    </w:p>
    <w:p>
      <w:pPr>
        <w:pStyle w:val="Heading1"/>
      </w:pPr>
      <w:r>
        <w:t>12. Privacidad y manejo de datos externos</w:t>
      </w:r>
    </w:p>
    <w:p>
      <w:pPr>
        <w:ind w:left="259" w:hanging="173"/>
      </w:pPr>
      <w:r>
        <w:rPr>
          <w:b/>
        </w:rPr>
        <w:t xml:space="preserve">• </w:t>
      </w:r>
      <w:r>
        <w:t>Principio de minimización: sólo compartir datos imprescindibles para el propósito.</w:t>
      </w:r>
    </w:p>
    <w:p>
      <w:pPr>
        <w:ind w:left="259" w:hanging="173"/>
      </w:pPr>
      <w:r>
        <w:rPr>
          <w:b/>
        </w:rPr>
        <w:t xml:space="preserve">• </w:t>
      </w:r>
      <w:r>
        <w:t>No enviar RBAC interno, refresh tokens, hashes, historiales completos ni auditoría a proveedores.</w:t>
      </w:r>
    </w:p>
    <w:p>
      <w:pPr>
        <w:ind w:left="259" w:hanging="173"/>
      </w:pPr>
      <w:r>
        <w:rPr>
          <w:b/>
        </w:rPr>
        <w:t xml:space="preserve">• </w:t>
      </w:r>
      <w:r>
        <w:t>Las credenciales y tokens de terceros se protegen por ambiente y no se registran en claro.</w:t>
      </w:r>
    </w:p>
    <w:p>
      <w:pPr>
        <w:ind w:left="259" w:hanging="173"/>
      </w:pPr>
      <w:r>
        <w:rPr>
          <w:b/>
        </w:rPr>
        <w:t xml:space="preserve">• </w:t>
      </w:r>
      <w:r>
        <w:t>WhatsApp requerirá definición de consentimiento y plantillas antes de habilitarse.</w:t>
      </w:r>
    </w:p>
    <w:p>
      <w:pPr>
        <w:ind w:left="259" w:hanging="173"/>
      </w:pPr>
      <w:r>
        <w:rPr>
          <w:b/>
        </w:rPr>
        <w:t xml:space="preserve">• </w:t>
      </w:r>
      <w:r>
        <w:t>La documentación describe medidas técnicas y decisiones; no afirma certificación o cumplimiento legal absoluto.</w:t>
      </w:r>
    </w:p>
    <w:p>
      <w:pPr>
        <w:pStyle w:val="Heading1"/>
      </w:pPr>
      <w:r>
        <w:t>13. Despliegue y ambientes</w:t>
      </w:r>
    </w:p>
    <w:p>
      <w:r>
        <w:t>La arquitectura no queda acoplada a un proveedor cloud específico. Web, Desktop, API y PostgreSQL mantienen configuraciones por ambiente. Docker/Docker Compose y la guía reproducible de despliegue se reservan para Sprint 9. La base de datos no se expone directamente a los clientes.</w:t>
      </w:r>
    </w:p>
    <w:p>
      <w:pPr>
        <w:pStyle w:val="Heading1"/>
      </w:pPr>
      <w:r>
        <w:t>14. Pruebas y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type="dxa" w:w="7488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Regla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Unitarias</w:t>
            </w:r>
          </w:p>
        </w:tc>
        <w:tc>
          <w:tcPr>
            <w:tcW w:type="dxa" w:w="74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Servicios, parsers, estados y adaptadores.</w:t>
            </w:r>
          </w:p>
        </w:tc>
      </w:tr>
      <w:tr>
        <w:tc>
          <w:tcPr>
            <w:tcW w:type="dxa" w:w="2592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E2E backend</w:t>
            </w:r>
          </w:p>
        </w:tc>
        <w:tc>
          <w:tcPr>
            <w:tcW w:type="dxa" w:w="7488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PostgreSQL real para HUs importantes y operaciones críticas.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Clientes</w:t>
            </w:r>
          </w:p>
        </w:tc>
        <w:tc>
          <w:tcPr>
            <w:tcW w:type="dxa" w:w="74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Tests de modelo/UI y builds TypeScript.</w:t>
            </w:r>
          </w:p>
        </w:tc>
      </w:tr>
      <w:tr>
        <w:tc>
          <w:tcPr>
            <w:tcW w:type="dxa" w:w="2592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Integraciones externas</w:t>
            </w:r>
          </w:p>
        </w:tc>
        <w:tc>
          <w:tcPr>
            <w:tcW w:type="dxa" w:w="7488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Mocks/fixtures del proveedor + prueba real controlada cuando corresponda.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Cierre técnico</w:t>
            </w:r>
          </w:p>
        </w:tc>
        <w:tc>
          <w:tcPr>
            <w:tcW w:type="dxa" w:w="74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Prisma validate, build, git diff --check y regresión dirigida antes de merge.</w:t>
            </w:r>
          </w:p>
        </w:tc>
      </w:tr>
    </w:tbl>
    <w:p>
      <w:pPr>
        <w:spacing w:after="0"/>
      </w:pPr>
    </w:p>
    <w:p>
      <w:pPr>
        <w:pStyle w:val="Heading1"/>
      </w:pPr>
      <w:r>
        <w:t>15. Decisiones y restricciones vigentes</w:t>
      </w:r>
    </w:p>
    <w:p>
      <w:pPr>
        <w:ind w:left="259" w:hanging="173"/>
      </w:pPr>
      <w:r>
        <w:rPr>
          <w:b/>
        </w:rPr>
        <w:t xml:space="preserve">• </w:t>
      </w:r>
      <w:r>
        <w:t>Prisma permanece en 7.10.0; no actualizar a Prisma 8 sin decisión explícita.</w:t>
      </w:r>
    </w:p>
    <w:p>
      <w:pPr>
        <w:ind w:left="259" w:hanging="173"/>
      </w:pPr>
      <w:r>
        <w:rPr>
          <w:b/>
        </w:rPr>
        <w:t xml:space="preserve">• </w:t>
      </w:r>
      <w:r>
        <w:t>No usar db push como sustituto de migraciones Prisma.</w:t>
      </w:r>
    </w:p>
    <w:p>
      <w:pPr>
        <w:ind w:left="259" w:hanging="173"/>
      </w:pPr>
      <w:r>
        <w:rPr>
          <w:b/>
        </w:rPr>
        <w:t xml:space="preserve">• </w:t>
      </w:r>
      <w:r>
        <w:t>No introducir microservicios, broker o cola externa sólo por anticipación.</w:t>
      </w:r>
    </w:p>
    <w:p>
      <w:pPr>
        <w:ind w:left="259" w:hanging="173"/>
      </w:pPr>
      <w:r>
        <w:rPr>
          <w:b/>
        </w:rPr>
        <w:t xml:space="preserve">• </w:t>
      </w:r>
      <w:r>
        <w:t>No usar locks en memoria para resolver concurrencia de dominio.</w:t>
      </w:r>
    </w:p>
    <w:p>
      <w:pPr>
        <w:ind w:left="259" w:hanging="173"/>
      </w:pPr>
      <w:r>
        <w:rPr>
          <w:b/>
        </w:rPr>
        <w:t xml:space="preserve">• </w:t>
      </w:r>
      <w:r>
        <w:t>No implementar requisitos futuros fuera de la HU activa.</w:t>
      </w:r>
    </w:p>
    <w:p>
      <w:pPr>
        <w:ind w:left="259" w:hanging="173"/>
      </w:pPr>
      <w:r>
        <w:rPr>
          <w:b/>
        </w:rPr>
        <w:t xml:space="preserve">• </w:t>
      </w:r>
      <w:r>
        <w:t>El backend continúa siendo fuente de verdad incluso cuando una integración externa tenga estado propio.</w:t>
      </w:r>
    </w:p>
    <w:p>
      <w:pPr>
        <w:pStyle w:val="Heading1"/>
      </w:pPr>
      <w:r>
        <w:t>16. Roadmap arquitectónico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6912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Alcance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Sprint 7 — cerrado</w:t>
            </w:r>
          </w:p>
        </w:tc>
        <w:tc>
          <w:tcPr>
            <w:tcW w:type="dxa" w:w="69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Aplicación institucional Desktop hasta HU-038, incluyendo Reportes y Auditoría.</w:t>
            </w:r>
          </w:p>
        </w:tc>
      </w:tr>
      <w:tr>
        <w:tc>
          <w:tcPr>
            <w:tcW w:type="dxa" w:w="3168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Sprint 8 — Integraciones externas</w:t>
            </w:r>
          </w:p>
        </w:tc>
        <w:tc>
          <w:tcPr>
            <w:tcW w:type="dxa" w:w="6912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HU-039 Resend · HU-040 Google OAuth/OIDC · HU-041 Google Calendar · HU-042 Google Maps · HU-043 WhatsApp condicionada.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Sprint 9 — cierre técnico/académico</w:t>
            </w:r>
          </w:p>
        </w:tc>
        <w:tc>
          <w:tcPr>
            <w:tcW w:type="dxa" w:w="69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Docker/Compose, OpenAPI/Swagger, hardening, rendimiento, documentación/evidencias y preparación de entrega.</w:t>
            </w:r>
          </w:p>
        </w:tc>
      </w:tr>
    </w:tbl>
    <w:p>
      <w:pPr>
        <w:spacing w:after="0"/>
      </w:pPr>
    </w:p>
    <w:p>
      <w:pPr>
        <w:pStyle w:val="Heading1"/>
      </w:pPr>
      <w:r>
        <w:t>17. Trazabilidad arquitectónica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Necesidad</w:t>
            </w:r>
          </w:p>
        </w:tc>
        <w:tc>
          <w:tcPr>
            <w:tcW w:type="dxa" w:w="3744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Decisión</w:t>
            </w:r>
          </w:p>
        </w:tc>
        <w:tc>
          <w:tcPr>
            <w:tcW w:type="dxa" w:w="3456"/>
            <w:shd w:fill="0B2D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Integraciones sin duplicar lógica</w:t>
            </w:r>
          </w:p>
        </w:tc>
        <w:tc>
          <w:tcPr>
            <w:tcW w:type="dxa" w:w="37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Adaptadores backend y clientes delgados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Tests por HU y contratos reales.</w:t>
            </w:r>
          </w:p>
        </w:tc>
      </w:tr>
      <w:tr>
        <w:tc>
          <w:tcPr>
            <w:tcW w:type="dxa" w:w="2880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Identidad federada segura</w:t>
            </w:r>
          </w:p>
        </w:tc>
        <w:tc>
          <w:tcPr>
            <w:tcW w:type="dxa" w:w="374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Google no reemplaza RBAC/contexto local</w:t>
            </w:r>
          </w:p>
        </w:tc>
        <w:tc>
          <w:tcPr>
            <w:tcW w:type="dxa" w:w="3456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Pruebas auth + autorización.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Calendar sin perder autoridad</w:t>
            </w:r>
          </w:p>
        </w:tc>
        <w:tc>
          <w:tcPr>
            <w:tcW w:type="dxa" w:w="37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CitaJusta conserva la cita oficial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Validación de exportación y manejo de errores.</w:t>
            </w:r>
          </w:p>
        </w:tc>
      </w:tr>
      <w:tr>
        <w:tc>
          <w:tcPr>
            <w:tcW w:type="dxa" w:w="2880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Ubicación de sede</w:t>
            </w:r>
          </w:p>
        </w:tc>
        <w:tc>
          <w:tcPr>
            <w:tcW w:type="dxa" w:w="3744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Branch conserva dirección/coordenadas</w:t>
            </w:r>
          </w:p>
        </w:tc>
        <w:tc>
          <w:tcPr>
            <w:tcW w:type="dxa" w:w="3456"/>
            <w:vAlign w:val="top"/>
            <w:shd w:fill="F6FA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Prueba con datos reales/ficticios de sede.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Canales externos resilientes</w:t>
            </w:r>
          </w:p>
        </w:tc>
        <w:tc>
          <w:tcPr>
            <w:tcW w:type="dxa" w:w="37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Fallo del proveedor separado del dominio</w:t>
            </w:r>
          </w:p>
        </w:tc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20"/>
            </w:pPr>
            <w:r>
              <w:rPr>
                <w:sz w:val="16"/>
              </w:rPr>
              <w:t>Pruebas timeout/retry/idempotencia.</w:t>
            </w:r>
          </w:p>
        </w:tc>
      </w:tr>
    </w:tbl>
    <w:p>
      <w:pPr>
        <w:spacing w:after="0"/>
      </w:pPr>
    </w:p>
    <w:p>
      <w:pPr>
        <w:pStyle w:val="Heading1"/>
      </w:pPr>
      <w:r>
        <w:t>18. Conclusión</w:t>
      </w:r>
    </w:p>
    <w:p>
      <w:r>
        <w:t>CitaJusta mantiene una arquitectura cliente-servidor con monolito modular y PostgreSQL como fuente de verdad. La v0.2 refleja que Web y Desktop ya están operativos sobre una API común y que el siguiente crecimiento se concentra en integraciones externas desacopladas. Resend y Google se incorporarán sin trasladar autoridad fuera del backend ni comprometer RBAC, multi-tenancy, transacciones y trazabilidad. Sprint 9 consolidará despliegue reproducible, OpenAPI y cierre técnico.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8491"/>
        <w:sz w:val="14"/>
      </w:rPr>
      <w:t xml:space="preserve">CitaJusta — Arquitectura de Software — v0.2 · </w:t>
    </w:r>
    <w: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51560" cy="23540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1560" cy="23540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22B3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2D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AA6B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B2D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B657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