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Conocer los antecedentes y las bases conceptuales de un trabajo de investigación siempre es útil para tener una idea de cómo abordarlo; por tal motivo, en este capítulo se trata en detalle el estado actual de aplicaciones relacionadas con la gestión de información de investigadores y conceptos relacionados.</w:t>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Antecedentes</w:t>
      </w:r>
    </w:p>
    <w:p w:rsidR="00000000" w:rsidDel="00000000" w:rsidP="00000000" w:rsidRDefault="00000000" w:rsidRPr="00000000">
      <w:pPr>
        <w:pBdr/>
        <w:spacing w:after="100" w:line="276" w:lineRule="auto"/>
        <w:ind w:firstLine="340.79999999999995"/>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pBdr/>
        <w:spacing w:after="100" w:line="276" w:lineRule="auto"/>
        <w:ind w:left="0" w:firstLine="0"/>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ind w:left="0" w:firstLine="0"/>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sa</w:t>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contextualSpacing w:val="0"/>
        <w:rPr>
          <w:rFonts w:ascii="Times" w:cs="Times" w:eastAsia="Times" w:hAnsi="Times"/>
          <w:b w:val="1"/>
        </w:rPr>
      </w:pPr>
      <w:r w:rsidDel="00000000" w:rsidR="00000000" w:rsidRPr="00000000">
        <w:rPr>
          <w:rFonts w:ascii="Times" w:cs="Times" w:eastAsia="Times" w:hAnsi="Times"/>
          <w:b w:val="1"/>
          <w:rtl w:val="0"/>
        </w:rPr>
        <w:t xml:space="preserve">Características positivas y negativas de los antecedentes </w:t>
      </w:r>
    </w:p>
    <w:p w:rsidR="00000000" w:rsidDel="00000000" w:rsidP="00000000" w:rsidRDefault="00000000" w:rsidRPr="00000000">
      <w:pPr>
        <w:pBd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