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sz w:val="28"/>
          <w:szCs w:val="28"/>
        </w:rPr>
        <w:t xml:space="preserve">Universidad de Medellín</w:t>
      </w:r>
    </w:p>
    <w:p>
      <w:pPr>
        <w:spacing w:after="480"/>
        <w:jc w:val="center"/>
      </w:pPr>
      <w:r>
        <w:rPr>
          <w:rFonts w:ascii="Arial" w:cs="Arial" w:eastAsia="Arial" w:hAnsi="Arial"/>
          <w:sz w:val="24"/>
          <w:szCs w:val="24"/>
        </w:rPr>
        <w:t xml:space="preserve">Facultad de Ingeniería — Ingeniería de Sistemas</w:t>
      </w:r>
    </w:p>
    <w:p>
      <w:pPr>
        <w:spacing w:before="240" w:after="240"/>
        <w:jc w:val="center"/>
      </w:pPr>
      <w:r>
        <w:rPr>
          <w:rFonts w:ascii="Arial" w:cs="Arial" w:eastAsia="Arial" w:hAnsi="Arial"/>
          <w:b/>
          <w:bCs/>
          <w:sz w:val="32"/>
          <w:szCs w:val="32"/>
        </w:rPr>
        <w:t xml:space="preserve">Geometría en Movimiento: Análisis de Trayectorias y Reflexión de Ángulos en el Billar</w:t>
      </w:r>
    </w:p>
    <w:p>
      <w:pPr>
        <w:spacing w:before="240" w:after="480"/>
        <w:jc w:val="center"/>
      </w:pPr>
      <w:r>
        <w:rPr>
          <w:rFonts w:ascii="Arial" w:cs="Arial" w:eastAsia="Arial" w:hAnsi="Arial"/>
          <w:sz w:val="24"/>
          <w:szCs w:val="24"/>
        </w:rPr>
        <w:t xml:space="preserve">Segunda Revisión — Semana 7 (5%)</w:t>
      </w:r>
    </w:p>
    <w:p>
      <w:pPr>
        <w:jc w:val="center"/>
      </w:pPr>
      <w:r>
        <w:rPr>
          <w:rFonts w:ascii="Arial" w:cs="Arial" w:eastAsia="Arial" w:hAnsi="Arial"/>
          <w:sz w:val="24"/>
          <w:szCs w:val="24"/>
        </w:rPr>
        <w:t xml:space="preserve">Santiago Ospina Ramírez</w:t>
      </w:r>
    </w:p>
    <w:p>
      <w:pPr>
        <w:jc w:val="center"/>
      </w:pPr>
      <w:r>
        <w:rPr>
          <w:rFonts w:ascii="Arial" w:cs="Arial" w:eastAsia="Arial" w:hAnsi="Arial"/>
          <w:sz w:val="24"/>
          <w:szCs w:val="24"/>
        </w:rPr>
        <w:t xml:space="preserve">Miguel Ángel Tobón Zapata</w:t>
      </w:r>
    </w:p>
    <w:p>
      <w:pPr>
        <w:jc w:val="center"/>
      </w:pPr>
      <w:r>
        <w:rPr>
          <w:rFonts w:ascii="Arial" w:cs="Arial" w:eastAsia="Arial" w:hAnsi="Arial"/>
          <w:sz w:val="24"/>
          <w:szCs w:val="24"/>
        </w:rPr>
        <w:t xml:space="preserve">Juan Manuel Pava Higuita</w:t>
      </w:r>
    </w:p>
    <w:p>
      <w:pPr>
        <w:spacing w:after="240"/>
        <w:jc w:val="center"/>
      </w:pPr>
      <w:r>
        <w:rPr>
          <w:rFonts w:ascii="Arial" w:cs="Arial" w:eastAsia="Arial" w:hAnsi="Arial"/>
          <w:sz w:val="24"/>
          <w:szCs w:val="24"/>
        </w:rPr>
        <w:t xml:space="preserve">Gerónimo Torres Correa</w:t>
      </w:r>
    </w:p>
    <w:p>
      <w:pPr>
        <w:jc w:val="center"/>
      </w:pPr>
      <w:r>
        <w:rPr>
          <w:rFonts w:ascii="Arial" w:cs="Arial" w:eastAsia="Arial" w:hAnsi="Arial"/>
          <w:sz w:val="24"/>
          <w:szCs w:val="24"/>
        </w:rPr>
        <w:t xml:space="preserve">Análisis Geométrico</w:t>
      </w:r>
    </w:p>
    <w:p>
      <w:pPr>
        <w:jc w:val="center"/>
      </w:pPr>
      <w:r>
        <w:rPr>
          <w:rFonts w:ascii="Arial" w:cs="Arial" w:eastAsia="Arial" w:hAnsi="Arial"/>
          <w:sz w:val="24"/>
          <w:szCs w:val="24"/>
        </w:rPr>
        <w:t xml:space="preserve">Sirwuendy Cardona Posada</w:t>
      </w:r>
    </w:p>
    <w:p>
      <w:pPr>
        <w:spacing w:after="720"/>
        <w:jc w:val="center"/>
      </w:pPr>
      <w:r>
        <w:rPr>
          <w:rFonts w:ascii="Arial" w:cs="Arial" w:eastAsia="Arial" w:hAnsi="Arial"/>
          <w:sz w:val="24"/>
          <w:szCs w:val="24"/>
        </w:rPr>
        <w:t xml:space="preserve">24/03/26</w:t>
      </w:r>
    </w:p>
    <w:p>
      <w:pPr>
        <w:pStyle w:val="Heading1"/>
        <w:spacing w:before="240" w:after="160"/>
      </w:pPr>
      <w:r>
        <w:rPr>
          <w:rFonts w:ascii="Arial" w:cs="Arial" w:eastAsia="Arial" w:hAnsi="Arial"/>
          <w:b/>
          <w:bCs/>
          <w:sz w:val="28"/>
          <w:szCs w:val="28"/>
        </w:rPr>
        <w:t xml:space="preserve">Introducción</w:t>
      </w:r>
    </w:p>
    <w:p>
      <w:pPr>
        <w:spacing w:before="120" w:after="120"/>
        <w:jc w:val="both"/>
      </w:pPr>
      <w:r>
        <w:rPr>
          <w:rFonts w:ascii="Arial" w:cs="Arial" w:eastAsia="Arial" w:hAnsi="Arial"/>
          <w:sz w:val="24"/>
          <w:szCs w:val="24"/>
        </w:rPr>
        <w:t xml:space="preserve">El presente documento corresponde a la segunda revisión del proyecto de aula de la asignatura Análisis Geométrico, perteneciente al programa de Ingeniería de Sistemas. En esta entrega se consolida la propuesta seleccionada y se define con precisión el enfoque, los conceptos geométricos involucrados y la metodología que guiará el desarrollo del proyecto.</w:t>
      </w:r>
    </w:p>
    <w:p>
      <w:pPr>
        <w:spacing w:before="120" w:after="120"/>
        <w:jc w:val="both"/>
      </w:pPr>
      <w:r>
        <w:rPr>
          <w:rFonts w:ascii="Arial" w:cs="Arial" w:eastAsia="Arial" w:hAnsi="Arial"/>
          <w:sz w:val="24"/>
          <w:szCs w:val="24"/>
        </w:rPr>
        <w:t xml:space="preserve">El juego de billar representa un sistema fisicomatemático en el que cada desplazamiento de una bola sobre la mesa obedece rigurosamente a los principios de la geometría euclidiana. La ley de reflexión, los criterios de congruencia de triángulos y las propiedades de la simetría axial determinan con exactitud la trayectoria resultante tras cada impacto con las bandas.</w:t>
      </w:r>
    </w:p>
    <w:p>
      <w:pPr>
        <w:spacing w:before="120" w:after="120"/>
        <w:jc w:val="both"/>
      </w:pPr>
      <w:r>
        <w:rPr>
          <w:rFonts w:ascii="Arial" w:cs="Arial" w:eastAsia="Arial" w:hAnsi="Arial"/>
          <w:sz w:val="24"/>
          <w:szCs w:val="24"/>
        </w:rPr>
        <w:t xml:space="preserve">Este fenómeno ha sido objeto de estudio desde diversas perspectivas matemáticas y aplicadas. Berrío Valbuena, Valbuena Duarte y Sánchez Anillo (2017) demostraron que la trayectoria de una bola en el billar a tres bandas puede modelarse mediante la composición de simetrías axiales, donde cada rebote en la banda equivale a una reflexión geométrica sobre el eje que representa dicha banda. Su trabajo, apoyado en el software GeoGebra, permitió visualizar cómo la "composición de rebotes" no es más que la superposición de isometrías, específicamente de reflexiones sucesivas, que permiten predecir con anticipación el recorrido de la bola tiradora en tiros especiales denominados bricoles. Esta fundamentación geométrica constituye el punto de partida teórico sobre el cual el presente proyecto construye su propuesta de simulación.</w:t>
      </w:r>
    </w:p>
    <w:p>
      <w:pPr>
        <w:spacing w:before="120" w:after="120"/>
        <w:jc w:val="both"/>
      </w:pPr>
      <w:r>
        <w:rPr>
          <w:rFonts w:ascii="Arial" w:cs="Arial" w:eastAsia="Arial" w:hAnsi="Arial"/>
          <w:sz w:val="24"/>
          <w:szCs w:val="24"/>
        </w:rPr>
        <w:t xml:space="preserve">Sin embargo, el análisis de la reflexión no se agota en la simple colisión de una bola con una banda; las interacciones más complejas involucran la intersección entre los triángulos que definen las trayectorias. En este contexto, Sabharwal, Leopold y McGeehan (2013) desarrollaron un algoritmo completo para la determinación y clasificación de la intersección entre pares de triángulos, tanto en configuraciones cruzadas como coplanares. Este marco algorítmico resulta especialmente relevante para el proyecto, pues el análisis de los triángulos congruentes formados en cada punto de impacto —parte central de la demostración mediante el criterio L-A-L— requiere precisamente identificar y clasificar las relaciones espaciales entre dichas figuras.</w:t>
      </w:r>
    </w:p>
    <w:p>
      <w:pPr>
        <w:spacing w:before="120" w:after="120"/>
        <w:jc w:val="both"/>
      </w:pPr>
      <w:r>
        <w:rPr>
          <w:rFonts w:ascii="Arial" w:cs="Arial" w:eastAsia="Arial" w:hAnsi="Arial"/>
          <w:sz w:val="24"/>
          <w:szCs w:val="24"/>
        </w:rPr>
        <w:t xml:space="preserve">A estos fundamentos geométricos se articula la dimensión de la simulación visual interactiva. Harrison (1994) propuso un modelo cinemático para la respuesta a colisiones en animación computacional que, en lugar de recurrir a simulaciones dinámicas complejas, plantea el problema como el desplazamiento de puntos superficiales hacia posiciones objetivo a una tasa controlada, utilizando una representación multirresolución de la superficie. Este enfoque cinemático es el equivalente computacional de la simetría axial: el punto de la superficie se mueve hacia su imagen reflejada de forma geométrica y controlada, sin necesidad de calcular fuerzas físicas explícitas.</w:t>
      </w:r>
    </w:p>
    <w:p>
      <w:pPr>
        <w:spacing w:before="120" w:after="120"/>
        <w:jc w:val="both"/>
      </w:pPr>
      <w:r>
        <w:rPr>
          <w:rFonts w:ascii="Arial" w:cs="Arial" w:eastAsia="Arial" w:hAnsi="Arial"/>
          <w:sz w:val="24"/>
          <w:szCs w:val="24"/>
        </w:rPr>
        <w:t xml:space="preserve">Desde la Ingeniería de Sistemas, este modelo es directamente aplicable al desarrollo de motores de colisiones en videojuegos y simuladores físicos. El vector de reflexión v' = v − 2(v·n)n, utilizado en motores como Unity o Godot, implementa algebraicamente la misma ley que se demuestra de forma geométrica en este proyecto, lo que otorga a la propuesta una relevancia técnica concreta para el programa.</w:t>
      </w:r>
    </w:p>
    <w:p>
      <w:pPr>
        <w:pStyle w:val="Heading1"/>
        <w:spacing w:before="240" w:after="160"/>
      </w:pPr>
      <w:r>
        <w:rPr>
          <w:rFonts w:ascii="Arial" w:cs="Arial" w:eastAsia="Arial" w:hAnsi="Arial"/>
          <w:b/>
          <w:bCs/>
          <w:sz w:val="28"/>
          <w:szCs w:val="28"/>
        </w:rPr>
        <w:t xml:space="preserve">Propósito y Objetivos</w:t>
      </w:r>
    </w:p>
    <w:p>
      <w:pPr>
        <w:pStyle w:val="Heading2"/>
        <w:spacing w:before="200" w:after="120"/>
      </w:pPr>
      <w:r>
        <w:rPr>
          <w:rFonts w:ascii="Arial" w:cs="Arial" w:eastAsia="Arial" w:hAnsi="Arial"/>
          <w:b/>
          <w:bCs/>
          <w:sz w:val="26"/>
          <w:szCs w:val="26"/>
        </w:rPr>
        <w:t xml:space="preserve">Objetivo General</w:t>
      </w:r>
    </w:p>
    <w:p>
      <w:pPr>
        <w:spacing w:before="120" w:after="120"/>
        <w:jc w:val="both"/>
      </w:pPr>
      <w:r>
        <w:rPr>
          <w:rFonts w:ascii="Arial" w:cs="Arial" w:eastAsia="Arial" w:hAnsi="Arial"/>
          <w:sz w:val="24"/>
          <w:szCs w:val="24"/>
        </w:rPr>
        <w:t xml:space="preserve">Demostrar formalmente la ley de reflexión en el plano mediante criterios de congruencia de triángulos y simetría axial, implementando un simulador interactivo que valide en tiempo real la igualdad de los ángulos de incidencia y reflexión cuando una bola de billar colisiona con las bandas de la mesa en el plano cartesiano.</w:t>
      </w:r>
    </w:p>
    <w:p>
      <w:pPr>
        <w:pStyle w:val="Heading2"/>
        <w:spacing w:before="200" w:after="120"/>
      </w:pPr>
      <w:r>
        <w:rPr>
          <w:rFonts w:ascii="Arial" w:cs="Arial" w:eastAsia="Arial" w:hAnsi="Arial"/>
          <w:b/>
          <w:bCs/>
          <w:sz w:val="26"/>
          <w:szCs w:val="26"/>
        </w:rPr>
        <w:t xml:space="preserve">Objetivos Específicos</w:t>
      </w:r>
    </w:p>
    <w:p>
      <w:pPr>
        <w:spacing w:before="120" w:after="120"/>
        <w:jc w:val="both"/>
      </w:pPr>
      <w:r>
        <w:rPr>
          <w:rFonts w:ascii="Arial" w:cs="Arial" w:eastAsia="Arial" w:hAnsi="Arial"/>
          <w:sz w:val="24"/>
          <w:szCs w:val="24"/>
        </w:rPr>
        <w:t xml:space="preserve">Construir geométricamente el punto simétrico P* respecto a la banda, verificando mediante la mediatriz que la distancia del punto original a la banda es igual a la distancia de P* a la misma, fundamentando la reflexión como transformación isométrica; tal como lo formaliza Berrío et al. (2017) al demostrar que la "composición de rebotes" se sustenta en reflexiones axiales sucesivas.</w:t>
      </w:r>
    </w:p>
    <w:p>
      <w:pPr>
        <w:spacing w:before="120" w:after="120"/>
        <w:jc w:val="both"/>
      </w:pPr>
      <w:r>
        <w:rPr>
          <w:rFonts w:ascii="Arial" w:cs="Arial" w:eastAsia="Arial" w:hAnsi="Arial"/>
          <w:sz w:val="24"/>
          <w:szCs w:val="24"/>
        </w:rPr>
        <w:t xml:space="preserve">Desarrollar la prueba deductiva (Hipótesis → Tesis) que verifique la igualdad de los ángulos de incidencia y reflexión usando el criterio Lado-Ángulo-Lado, construyendo los triángulos congruentes en cada punto de impacto y aplicando los predicados de intersección y clasificación de Sabharwal et al. (2013) para determinar las relaciones espaciales entre dichos triángulos.</w:t>
      </w:r>
    </w:p>
    <w:p>
      <w:pPr>
        <w:spacing w:before="120" w:after="120"/>
        <w:jc w:val="both"/>
      </w:pPr>
      <w:r>
        <w:rPr>
          <w:rFonts w:ascii="Arial" w:cs="Arial" w:eastAsia="Arial" w:hAnsi="Arial"/>
          <w:sz w:val="24"/>
          <w:szCs w:val="24"/>
        </w:rPr>
        <w:t xml:space="preserve">Implementar una herramienta interactiva que visualice en tiempo real las trayectorias, ángulos, normales, triángulos congruentes y punto simétrico, siguiendo el enfoque cinemático de Harrison (1994) para el control de deformaciones superficiales en tiempo real, y cumpliendo con el criterio de herramientas computacionales establecido en la rúbrica.</w:t>
      </w:r>
    </w:p>
    <w:p>
      <w:pPr>
        <w:spacing w:before="120" w:after="120"/>
        <w:jc w:val="both"/>
      </w:pPr>
      <w:r>
        <w:rPr>
          <w:rFonts w:ascii="Arial" w:cs="Arial" w:eastAsia="Arial" w:hAnsi="Arial"/>
          <w:sz w:val="24"/>
          <w:szCs w:val="24"/>
        </w:rPr>
        <w:t xml:space="preserve">Vincular los resultados geométricos con su implementación algorítmica en motores de física para videojuegos, mostrando la correspondencia entre la demostración formal y la fórmula vectorial de reflexión v' = v − 2(v·n)n.</w:t>
      </w:r>
    </w:p>
    <w:p>
      <w:pPr>
        <w:pStyle w:val="Heading1"/>
        <w:spacing w:before="240" w:after="160"/>
      </w:pPr>
      <w:r>
        <w:rPr>
          <w:rFonts w:ascii="Arial" w:cs="Arial" w:eastAsia="Arial" w:hAnsi="Arial"/>
          <w:b/>
          <w:bCs/>
          <w:sz w:val="28"/>
          <w:szCs w:val="28"/>
        </w:rPr>
        <w:t xml:space="preserve">Idea Clara del Proyecto</w:t>
      </w:r>
    </w:p>
    <w:p>
      <w:pPr>
        <w:pStyle w:val="Heading2"/>
        <w:spacing w:before="200" w:after="120"/>
      </w:pPr>
      <w:r>
        <w:rPr>
          <w:rFonts w:ascii="Arial" w:cs="Arial" w:eastAsia="Arial" w:hAnsi="Arial"/>
          <w:b/>
          <w:bCs/>
          <w:sz w:val="26"/>
          <w:szCs w:val="26"/>
        </w:rPr>
        <w:t xml:space="preserve">Planteamiento del Problema</w:t>
      </w:r>
    </w:p>
    <w:p>
      <w:pPr>
        <w:spacing w:before="120" w:after="120"/>
        <w:jc w:val="both"/>
      </w:pPr>
      <w:r>
        <w:rPr>
          <w:rFonts w:ascii="Arial" w:cs="Arial" w:eastAsia="Arial" w:hAnsi="Arial"/>
          <w:sz w:val="24"/>
          <w:szCs w:val="24"/>
        </w:rPr>
        <w:t xml:space="preserve">¿De qué manera los principios de la geometría euclidiana —específicamente la ley de reflexión, el criterio de congruencia L-A-L y la simetría axial— determinan con exactitud la trayectoria de una bola de billar al colisionar con las bandas de la mesa, y cómo estos mismos principios fundamentan el desarrollo de motores de colisiones en la Ingeniería de Sistemas?</w:t>
      </w:r>
    </w:p>
    <w:p>
      <w:pPr>
        <w:spacing w:before="120" w:after="120"/>
        <w:jc w:val="both"/>
      </w:pPr>
      <w:r>
        <w:rPr>
          <w:rFonts w:ascii="Arial" w:cs="Arial" w:eastAsia="Arial" w:hAnsi="Arial"/>
          <w:sz w:val="24"/>
          <w:szCs w:val="24"/>
        </w:rPr>
        <w:t xml:space="preserve">El billar es un sistema cuyo funcionamiento preciso responde a leyes geométricas formales. Cuando una bola impacta una banda, el ángulo de salida es exactamente igual al ángulo de entrada respecto a la normal de la superficie. Este fenómeno, que Berrío et al. (2017) describen como la base de la "composición de rebotes" en el billar a tres bandas, puede demostrarse rigurosamente mediante la congruencia de triángulos (criterio L-A-L) y la construcción del punto simétrico respecto a la recta que representa la banda. A su vez, cuando la trayectoria de la bola involucra múltiples rebotes, las interacciones entre los triángulos generados requieren algoritmos de intersección como los propuestos por Sabharwal et al. (2013), cuya clasificación de intersecciones en punto, segmento y área es fundamental para el análisis cuantitativo de los impactos.</w:t>
      </w:r>
    </w:p>
    <w:p>
      <w:pPr>
        <w:pStyle w:val="Heading2"/>
        <w:spacing w:before="200" w:after="120"/>
      </w:pPr>
      <w:r>
        <w:rPr>
          <w:rFonts w:ascii="Arial" w:cs="Arial" w:eastAsia="Arial" w:hAnsi="Arial"/>
          <w:b/>
          <w:bCs/>
          <w:sz w:val="26"/>
          <w:szCs w:val="26"/>
        </w:rPr>
        <w:t xml:space="preserve">Descripción del Proyecto</w:t>
      </w:r>
    </w:p>
    <w:p>
      <w:pPr>
        <w:spacing w:before="120" w:after="120"/>
        <w:jc w:val="both"/>
      </w:pPr>
      <w:r>
        <w:rPr>
          <w:rFonts w:ascii="Arial" w:cs="Arial" w:eastAsia="Arial" w:hAnsi="Arial"/>
          <w:sz w:val="24"/>
          <w:szCs w:val="24"/>
        </w:rPr>
        <w:t xml:space="preserve">El proyecto consiste en el desarrollo de un simulador interactivo de billar geométrico que permita visualizar en tiempo real los conceptos geométricos involucrados en el movimiento y rebote de las bolas. La herramienta funcionará como ilustración o animación para la exposición y como evidencia del uso de herramientas computacionales exigido por la rúbrica.</w:t>
      </w:r>
    </w:p>
    <w:p>
      <w:pPr>
        <w:spacing w:before="120" w:after="120"/>
        <w:jc w:val="both"/>
      </w:pPr>
      <w:r>
        <w:rPr>
          <w:rFonts w:ascii="Arial" w:cs="Arial" w:eastAsia="Arial" w:hAnsi="Arial"/>
          <w:sz w:val="24"/>
          <w:szCs w:val="24"/>
        </w:rPr>
        <w:t xml:space="preserve">El simulador adoptará el enfoque cinemático descrito por Harrison (1994), en el que la respuesta a la colisión se gestiona como el desplazamiento geométrico de puntos superficiales hacia posiciones objetivo mediante una representación multirresolución. Esta estrategia permite controlar con precisión la naturaleza, extensión y temporización de las deformaciones, sin necesidad de simular fuerzas físicas explícitas, lo que resulta idóneo para una herramienta educativa orientada a la visualización geométrica.</w:t>
      </w:r>
    </w:p>
    <w:p>
      <w:pPr>
        <w:spacing w:before="120" w:after="120"/>
        <w:jc w:val="both"/>
      </w:pPr>
      <w:r>
        <w:rPr>
          <w:rFonts w:ascii="Arial" w:cs="Arial" w:eastAsia="Arial" w:hAnsi="Arial"/>
          <w:sz w:val="24"/>
          <w:szCs w:val="24"/>
        </w:rPr>
        <w:t xml:space="preserve">El simulador contará con las siguientes características: simulación física de múltiples bolas con detección de colisiones bola-banda y bola-bola; visualización en tiempo real del ángulo de incidencia y reflexión con verificación de su igualdad; representación de los triángulos congruentes en cada impacto para la demostración L-A-L, con clasificación de sus intersecciones según los predicados de Sabharwal et al. (2013); construcción del punto simétrico P* y la mediatriz para evidenciar la isometría, siguiendo la lógica de la composición de simetrías de Berrío et al. (2017); y un panel de datos que registra ángulos y rebotes para el análisis cuantitativo del informe.</w:t>
      </w:r>
    </w:p>
    <w:p>
      <w:pPr>
        <w:pStyle w:val="Heading1"/>
        <w:spacing w:before="240" w:after="160"/>
      </w:pPr>
      <w:r>
        <w:rPr>
          <w:rFonts w:ascii="Arial" w:cs="Arial" w:eastAsia="Arial" w:hAnsi="Arial"/>
          <w:b/>
          <w:bCs/>
          <w:sz w:val="28"/>
          <w:szCs w:val="28"/>
        </w:rPr>
        <w:t xml:space="preserve">Conceptos Geométricos Aplicados</w:t>
      </w:r>
    </w:p>
    <w:p>
      <w:pPr>
        <w:spacing w:before="120" w:after="120"/>
        <w:jc w:val="both"/>
      </w:pPr>
      <w:r>
        <w:rPr>
          <w:rFonts w:ascii="Arial" w:cs="Arial" w:eastAsia="Arial" w:hAnsi="Arial"/>
          <w:sz w:val="24"/>
          <w:szCs w:val="24"/>
        </w:rPr>
        <w:t xml:space="preserve">Los siguientes conceptos del curso serán identificados, demostrados y visualizados en el simulador, articulados con los fundamentos teóricos de los tres artículos de referencia:</w:t>
      </w:r>
    </w:p>
    <w:p>
      <w:pPr>
        <w:spacing w:before="120" w:after="120"/>
        <w:jc w:val="both"/>
      </w:pPr>
      <w:r>
        <w:rPr>
          <w:rFonts w:ascii="Arial" w:cs="Arial" w:eastAsia="Arial" w:hAnsi="Arial"/>
          <w:b/>
          <w:bCs/>
          <w:sz w:val="24"/>
          <w:szCs w:val="24"/>
        </w:rPr>
        <w:t xml:space="preserve">Ley de Reflexión. </w:t>
      </w:r>
      <w:r>
        <w:rPr>
          <w:rFonts w:ascii="Arial" w:cs="Arial" w:eastAsia="Arial" w:hAnsi="Arial"/>
          <w:sz w:val="24"/>
          <w:szCs w:val="24"/>
        </w:rPr>
        <w:t xml:space="preserve">Cuando una partícula incide sobre una superficie plana, el ángulo de incidencia es igual al ángulo de reflexión, ambos medidos respecto a la normal en el punto de impacto (α = β). Berrío et al. (2017) demuestran que en todo rebote en la banda los ángulos que se forman con la trayectoria incidente, la trayectoria reflejada y la banda son congruentes (∠ADE ≅ ∠B'DF), siendo la banda el eje simétrico que bisecta dichos ángulos. Cada rebote de la bola en el simulador verificará esta ley, medible cuantitativamente.</w:t>
      </w:r>
    </w:p>
    <w:p>
      <w:pPr>
        <w:spacing w:before="120" w:after="120"/>
        <w:jc w:val="both"/>
      </w:pPr>
      <w:r>
        <w:rPr>
          <w:rFonts w:ascii="Arial" w:cs="Arial" w:eastAsia="Arial" w:hAnsi="Arial"/>
          <w:b/>
          <w:bCs/>
          <w:sz w:val="24"/>
          <w:szCs w:val="24"/>
        </w:rPr>
        <w:t xml:space="preserve">Congruencia de Triángulos — Criterio L-A-L. </w:t>
      </w:r>
      <w:r>
        <w:rPr>
          <w:rFonts w:ascii="Arial" w:cs="Arial" w:eastAsia="Arial" w:hAnsi="Arial"/>
          <w:sz w:val="24"/>
          <w:szCs w:val="24"/>
        </w:rPr>
        <w:t xml:space="preserve">Dos triángulos son congruentes si tienen dos lados iguales y el ángulo comprendido entre ellos es igual. Se aplica para demostrar que el triángulo formado por la trayectoria de entrada es congruente con el de la trayectoria de salida. Sabharwal et al. (2013) formalizan la clasificación de las intersecciones entre pares de triángulos en categorías de punto, segmento y área, lo que permite verificar algorítmicamente la congruencia de los triángulos de incidencia y reflexión en cada impacto.</w:t>
      </w:r>
    </w:p>
    <w:p>
      <w:pPr>
        <w:spacing w:before="120" w:after="120"/>
        <w:jc w:val="both"/>
      </w:pPr>
      <w:r>
        <w:rPr>
          <w:rFonts w:ascii="Arial" w:cs="Arial" w:eastAsia="Arial" w:hAnsi="Arial"/>
          <w:b/>
          <w:bCs/>
          <w:sz w:val="24"/>
          <w:szCs w:val="24"/>
        </w:rPr>
        <w:t xml:space="preserve">Simetría Axial y Punto Simétrico. </w:t>
      </w:r>
      <w:r>
        <w:rPr>
          <w:rFonts w:ascii="Arial" w:cs="Arial" w:eastAsia="Arial" w:hAnsi="Arial"/>
          <w:sz w:val="24"/>
          <w:szCs w:val="24"/>
        </w:rPr>
        <w:t xml:space="preserve">La reflexión es una transformación isométrica respecto al eje de simetría (la banda). El punto simétrico P* se construye mediante la fórmula P* = P − 2·((P−Q)·n)·n, y la mediatriz del segmento PP* coincide con la banda, confirmando la isometría. Berrío et al. (2017) aplican este principio iterativamente: para un bricol a n bandas, se compone la reflexión del punto objetivo sucesivamente respecto a cada banda involucrada, obteniendo la trayectoria directa como la línea recta desde la bola tiradora hasta la imagen compuesta.</w:t>
      </w:r>
    </w:p>
    <w:p>
      <w:pPr>
        <w:spacing w:before="120" w:after="120"/>
        <w:jc w:val="both"/>
      </w:pPr>
      <w:r>
        <w:rPr>
          <w:rFonts w:ascii="Arial" w:cs="Arial" w:eastAsia="Arial" w:hAnsi="Arial"/>
          <w:b/>
          <w:bCs/>
          <w:sz w:val="24"/>
          <w:szCs w:val="24"/>
        </w:rPr>
        <w:t xml:space="preserve">Perpendicularidad y Distancia Mínima. </w:t>
      </w:r>
      <w:r>
        <w:rPr>
          <w:rFonts w:ascii="Arial" w:cs="Arial" w:eastAsia="Arial" w:hAnsi="Arial"/>
          <w:sz w:val="24"/>
          <w:szCs w:val="24"/>
        </w:rPr>
        <w:t xml:space="preserve">La distancia mínima de un punto a una recta se mide sobre la perpendicular trazada desde el punto hasta la recta, calculada como d = |ax₀ + by₀ + c| / √(a² + b²). Esta propiedad garantiza la construcción exacta de la normal al punto de impacto y es la base geométrica del algoritmo de detección de penetración descrito por Harrison (1994), en el que los vectores de desplazamiento se calculan respecto a la normal de la superficie.</w:t>
      </w:r>
    </w:p>
    <w:p>
      <w:pPr>
        <w:spacing w:before="120" w:after="120"/>
        <w:jc w:val="both"/>
      </w:pPr>
      <w:r>
        <w:rPr>
          <w:rFonts w:ascii="Arial" w:cs="Arial" w:eastAsia="Arial" w:hAnsi="Arial"/>
          <w:b/>
          <w:bCs/>
          <w:sz w:val="24"/>
          <w:szCs w:val="24"/>
        </w:rPr>
        <w:t xml:space="preserve">Reflexión Vectorial. </w:t>
      </w:r>
      <w:r>
        <w:rPr>
          <w:rFonts w:ascii="Arial" w:cs="Arial" w:eastAsia="Arial" w:hAnsi="Arial"/>
          <w:sz w:val="24"/>
          <w:szCs w:val="24"/>
        </w:rPr>
        <w:t xml:space="preserve">La dirección de movimiento de la bola se representa como un vector v. Al reflejarse respecto a la normal n de la banda, el nuevo vector de velocidad se calcula como v' = v − 2(v·n)n. Esta fórmula es el equivalente algebraico de la simetría axial y constituye la implementación directa en motores de física para videojuegos. Harrison (1994) señala que este tipo de desplazamiento cinemático es numéricamente estable y espacialmente compacto, lo que lo hace ideal para animación en tiempo real.</w:t>
      </w:r>
    </w:p>
    <w:p>
      <w:pPr>
        <w:pStyle w:val="Heading1"/>
        <w:spacing w:before="240" w:after="160"/>
      </w:pPr>
      <w:r>
        <w:rPr>
          <w:rFonts w:ascii="Arial" w:cs="Arial" w:eastAsia="Arial" w:hAnsi="Arial"/>
          <w:b/>
          <w:bCs/>
          <w:sz w:val="28"/>
          <w:szCs w:val="28"/>
        </w:rPr>
        <w:t xml:space="preserve">Metodología de Trabajo</w:t>
      </w:r>
    </w:p>
    <w:p>
      <w:pPr>
        <w:spacing w:before="120" w:after="120"/>
        <w:jc w:val="both"/>
      </w:pPr>
      <w:r>
        <w:rPr>
          <w:rFonts w:ascii="Arial" w:cs="Arial" w:eastAsia="Arial" w:hAnsi="Arial"/>
          <w:sz w:val="24"/>
          <w:szCs w:val="24"/>
        </w:rPr>
        <w:t xml:space="preserve">El proyecto se ejecutará en cuatro fases distribuidas a lo largo del semestre, alineadas con las revisiones establecidas en las pautas del curso.</w:t>
      </w:r>
    </w:p>
    <w:p>
      <w:pPr>
        <w:spacing w:before="120" w:after="120"/>
        <w:jc w:val="both"/>
      </w:pPr>
      <w:r>
        <w:rPr>
          <w:rFonts w:ascii="Arial" w:cs="Arial" w:eastAsia="Arial" w:hAnsi="Arial"/>
          <w:b/>
          <w:bCs/>
          <w:sz w:val="24"/>
          <w:szCs w:val="24"/>
        </w:rPr>
        <w:t xml:space="preserve">Fase 1: Exploración y Planteamiento (Semanas 1–4). </w:t>
      </w:r>
      <w:r>
        <w:rPr>
          <w:rFonts w:ascii="Arial" w:cs="Arial" w:eastAsia="Arial" w:hAnsi="Arial"/>
          <w:sz w:val="24"/>
          <w:szCs w:val="24"/>
        </w:rPr>
        <w:t xml:space="preserve">Revisión bibliográfica de los conceptos geométricos del curso, identificación de las propiedades de reflexión aplicables al billar —incluyendo el marco de composición de simetrías de Berrío et al. (2017) y los algoritmos de intersección de triángulos de Sabharwal et al. (2013)— y redacción de la introducción, objetivos e ideas del proyecto. Producto: Primera Revisión.</w:t>
      </w:r>
    </w:p>
    <w:p>
      <w:pPr>
        <w:spacing w:before="120" w:after="120"/>
        <w:jc w:val="both"/>
      </w:pPr>
      <w:r>
        <w:rPr>
          <w:rFonts w:ascii="Arial" w:cs="Arial" w:eastAsia="Arial" w:hAnsi="Arial"/>
          <w:b/>
          <w:bCs/>
          <w:sz w:val="24"/>
          <w:szCs w:val="24"/>
        </w:rPr>
        <w:t xml:space="preserve">Fase 2: Definición y Diseño (Semanas 5–7). </w:t>
      </w:r>
      <w:r>
        <w:rPr>
          <w:rFonts w:ascii="Arial" w:cs="Arial" w:eastAsia="Arial" w:hAnsi="Arial"/>
          <w:sz w:val="24"/>
          <w:szCs w:val="24"/>
        </w:rPr>
        <w:t xml:space="preserve">Consolidación de la idea clara del proyecto, definición de los conceptos a demostrar y diseño de la estructura del simulador interactivo siguiendo el modelo cinemático de Harrison (1994). Producto: Segunda Revisión (5%).</w:t>
      </w:r>
    </w:p>
    <w:p>
      <w:pPr>
        <w:spacing w:before="120" w:after="120"/>
        <w:jc w:val="both"/>
      </w:pPr>
      <w:r>
        <w:rPr>
          <w:rFonts w:ascii="Arial" w:cs="Arial" w:eastAsia="Arial" w:hAnsi="Arial"/>
          <w:b/>
          <w:bCs/>
          <w:sz w:val="24"/>
          <w:szCs w:val="24"/>
        </w:rPr>
        <w:t xml:space="preserve">Fase 3: Desarrollo e Implementación (Semanas 8–11). </w:t>
      </w:r>
      <w:r>
        <w:rPr>
          <w:rFonts w:ascii="Arial" w:cs="Arial" w:eastAsia="Arial" w:hAnsi="Arial"/>
          <w:sz w:val="24"/>
          <w:szCs w:val="24"/>
        </w:rPr>
        <w:t xml:space="preserve">Construcción del simulador con las capas de visualización geométrica —incluyendo la representación multirresolución para el control de colisiones—, redacción del marco teórico con demostraciones formales paso a paso y elaboración de la ilustración o animación para la maqueta del proyecto. Producto: Tercera Revisión.</w:t>
      </w:r>
    </w:p>
    <w:p>
      <w:pPr>
        <w:spacing w:before="120" w:after="120"/>
        <w:jc w:val="both"/>
      </w:pPr>
      <w:r>
        <w:rPr>
          <w:rFonts w:ascii="Arial" w:cs="Arial" w:eastAsia="Arial" w:hAnsi="Arial"/>
          <w:b/>
          <w:bCs/>
          <w:sz w:val="24"/>
          <w:szCs w:val="24"/>
        </w:rPr>
        <w:t xml:space="preserve">Fase 4: Cierre y Exposición (Semanas 12–14). </w:t>
      </w:r>
      <w:r>
        <w:rPr>
          <w:rFonts w:ascii="Arial" w:cs="Arial" w:eastAsia="Arial" w:hAnsi="Arial"/>
          <w:sz w:val="24"/>
          <w:szCs w:val="24"/>
        </w:rPr>
        <w:t xml:space="preserve">Redacción de conclusiones con análisis cuantitativo de los ángulos medidos, compilación de la bibliografía en normas APA y preparación de la exposición oral con distribución equitativa por integrante. Producto: Cuarta Revisión y Exposición (10%).</w:t>
      </w:r>
    </w:p>
    <w:p>
      <w:pPr>
        <w:pStyle w:val="Heading1"/>
        <w:spacing w:before="240" w:after="160"/>
      </w:pPr>
      <w:r>
        <w:rPr>
          <w:rFonts w:ascii="Arial" w:cs="Arial" w:eastAsia="Arial" w:hAnsi="Arial"/>
          <w:b/>
          <w:bCs/>
          <w:sz w:val="28"/>
          <w:szCs w:val="28"/>
        </w:rPr>
        <w:t xml:space="preserve">Herramientas Computacionales</w:t>
      </w:r>
    </w:p>
    <w:p>
      <w:pPr>
        <w:spacing w:before="120" w:after="120"/>
        <w:jc w:val="both"/>
      </w:pPr>
      <w:r>
        <w:rPr>
          <w:rFonts w:ascii="Arial" w:cs="Arial" w:eastAsia="Arial" w:hAnsi="Arial"/>
          <w:sz w:val="24"/>
          <w:szCs w:val="24"/>
        </w:rPr>
        <w:t xml:space="preserve">Las herramientas computacionales seleccionadas responden directamente al criterio de la rúbrica (15 puntos) y se articulan con los referentes teóricos del proyecto. Se utilizará un simulador interactivo en HTML y JavaScript para la visualización en tiempo real de trayectorias, ángulos y demostraciones geométricas, implementando el modelo de respuesta a colisiones de Harrison (1994) mediante vectores de desplazamiento calculados sobre la normal de la superficie. GeoGebra se empleará para la construcción estática y formal de la demostración del punto simétrico, la mediatriz y los triángulos congruentes, reproduciendo digitalmente las simulaciones de composición de simetrías propuestas por Berrío et al. (2017). Finalmente, Python con las bibliotecas matplotlib y numpy permitirá la generación de gráficas de ángulos medidos durante la simulación y la implementación de los predicados de clasificación de intersección de triángulos de Sabharwal et al. (2013), como evidencia cuantitativa para el análisis de resultados.</w:t>
      </w:r>
    </w:p>
    <w:p>
      <w:pPr>
        <w:pStyle w:val="Heading1"/>
        <w:spacing w:before="240" w:after="160"/>
      </w:pPr>
      <w:r>
        <w:rPr>
          <w:rFonts w:ascii="Arial" w:cs="Arial" w:eastAsia="Arial" w:hAnsi="Arial"/>
          <w:b/>
          <w:bCs/>
          <w:sz w:val="28"/>
          <w:szCs w:val="28"/>
        </w:rPr>
        <w:t xml:space="preserve">Referencias</w:t>
      </w:r>
    </w:p>
    <w:p>
      <w:pPr>
        <w:spacing w:before="120" w:after="120"/>
        <w:ind w:left="720" w:hanging="720"/>
      </w:pPr>
      <w:r>
        <w:rPr>
          <w:rFonts w:ascii="Arial" w:cs="Arial" w:eastAsia="Arial" w:hAnsi="Arial"/>
          <w:sz w:val="24"/>
          <w:szCs w:val="24"/>
        </w:rPr>
        <w:t xml:space="preserve">Berrío Valbuena, J. D., Valbuena Duarte, S., &amp; Sánchez Anillo, R. (2017). Simulación de composición de simetrías en GeoGebra para simplificar la teoría de los diamantes en la práctica del billar. </w:t>
      </w:r>
      <w:r>
        <w:rPr>
          <w:rFonts w:ascii="Arial" w:cs="Arial" w:eastAsia="Arial" w:hAnsi="Arial"/>
          <w:i/>
          <w:iCs/>
          <w:sz w:val="24"/>
          <w:szCs w:val="24"/>
        </w:rPr>
        <w:t xml:space="preserve">Pensamiento Americano, 10</w:t>
      </w:r>
      <w:r>
        <w:rPr>
          <w:rFonts w:ascii="Arial" w:cs="Arial" w:eastAsia="Arial" w:hAnsi="Arial"/>
          <w:sz w:val="24"/>
          <w:szCs w:val="24"/>
        </w:rPr>
        <w:t xml:space="preserve">(19), 55–67. https://doi.org/10.21803/penamer.10.19.464</w:t>
      </w:r>
    </w:p>
    <w:p>
      <w:pPr>
        <w:spacing w:before="120" w:after="120"/>
        <w:ind w:left="720" w:hanging="720"/>
      </w:pPr>
      <w:r>
        <w:rPr>
          <w:rFonts w:ascii="Arial" w:cs="Arial" w:eastAsia="Arial" w:hAnsi="Arial"/>
          <w:sz w:val="24"/>
          <w:szCs w:val="24"/>
        </w:rPr>
        <w:t xml:space="preserve">Harrison, J. (1994). </w:t>
      </w:r>
      <w:r>
        <w:rPr>
          <w:rFonts w:ascii="Arial" w:cs="Arial" w:eastAsia="Arial" w:hAnsi="Arial"/>
          <w:i/>
          <w:iCs/>
          <w:sz w:val="24"/>
          <w:szCs w:val="24"/>
        </w:rPr>
        <w:t xml:space="preserve">A kinematic model for collision response</w:t>
      </w:r>
      <w:r>
        <w:rPr>
          <w:rFonts w:ascii="Arial" w:cs="Arial" w:eastAsia="Arial" w:hAnsi="Arial"/>
          <w:sz w:val="24"/>
          <w:szCs w:val="24"/>
        </w:rPr>
        <w:t xml:space="preserve"> [Tesis de maestría]. The University of British Columbia.</w:t>
      </w:r>
    </w:p>
    <w:p>
      <w:pPr>
        <w:spacing w:before="120" w:after="120"/>
        <w:ind w:left="720" w:hanging="720"/>
      </w:pPr>
      <w:r>
        <w:rPr>
          <w:rFonts w:ascii="Arial" w:cs="Arial" w:eastAsia="Arial" w:hAnsi="Arial"/>
          <w:sz w:val="24"/>
          <w:szCs w:val="24"/>
        </w:rPr>
        <w:t xml:space="preserve">Sabharwal, C. L., Leopold, J. L., &amp; McGeehan, D. (2013). Triangle-triangle intersection determination and classification to support qualitative spatial reasoning. </w:t>
      </w:r>
      <w:r>
        <w:rPr>
          <w:rFonts w:ascii="Arial" w:cs="Arial" w:eastAsia="Arial" w:hAnsi="Arial"/>
          <w:i/>
          <w:iCs/>
          <w:sz w:val="24"/>
          <w:szCs w:val="24"/>
        </w:rPr>
        <w:t xml:space="preserve">Polibits, 48</w:t>
      </w:r>
      <w:r>
        <w:rPr>
          <w:rFonts w:ascii="Arial" w:cs="Arial" w:eastAsia="Arial" w:hAnsi="Arial"/>
          <w:sz w:val="24"/>
          <w:szCs w:val="24"/>
        </w:rPr>
        <w:t xml:space="preserve">, 13–22.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000000"/>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2026-03-24T00:51:02.780Z</dcterms:created>
  <dcterms:modified xsi:type="dcterms:W3CDTF">2026-03-24T00:51:02.781Z</dcterms:modified>
</cp:coreProperties>
</file>

<file path=docProps/custom.xml><?xml version="1.0" encoding="utf-8"?>
<Properties xmlns="http://schemas.openxmlformats.org/officeDocument/2006/custom-properties" xmlns:vt="http://schemas.openxmlformats.org/officeDocument/2006/docPropsVTypes"/>
</file>